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pStyle w:val="11"/>
        <w:spacing w:line="120" w:lineRule="atLeast"/>
        <w:rPr>
          <w:sz w:val="36"/>
          <w:szCs w:val="36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320675</wp:posOffset>
            </wp:positionV>
            <wp:extent cx="2390140" cy="1326515"/>
            <wp:effectExtent l="0" t="0" r="10160" b="698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1"/>
        <w:spacing w:line="120" w:lineRule="atLeast"/>
        <w:rPr>
          <w:sz w:val="36"/>
          <w:szCs w:val="36"/>
        </w:rPr>
      </w:pPr>
    </w:p>
    <w:p>
      <w:pPr>
        <w:spacing w:before="156"/>
        <w:jc w:val="center"/>
        <w:rPr>
          <w:rFonts w:hint="eastAsia" w:ascii="宋体" w:hAnsi="宋体" w:cs="宋体"/>
          <w:b/>
          <w:bCs/>
          <w:sz w:val="52"/>
          <w:szCs w:val="52"/>
        </w:rPr>
      </w:pPr>
    </w:p>
    <w:p>
      <w:pPr>
        <w:spacing w:before="156"/>
        <w:jc w:val="center"/>
        <w:rPr>
          <w:rFonts w:hint="eastAsia" w:ascii="宋体" w:hAnsi="宋体" w:cs="宋体"/>
          <w:b/>
          <w:bCs/>
          <w:sz w:val="52"/>
          <w:szCs w:val="52"/>
        </w:rPr>
      </w:pPr>
    </w:p>
    <w:p>
      <w:pPr>
        <w:spacing w:before="156"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JF-W302G-Ex</w:t>
      </w:r>
    </w:p>
    <w:p>
      <w:pPr>
        <w:spacing w:before="156" w:line="360" w:lineRule="auto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点型感温火灾探测器</w:t>
      </w:r>
    </w:p>
    <w:p>
      <w:pPr>
        <w:spacing w:before="156" w:line="360" w:lineRule="auto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使用说明书</w:t>
      </w:r>
    </w:p>
    <w:p>
      <w:pPr>
        <w:spacing w:before="156" w:line="360" w:lineRule="auto"/>
        <w:jc w:val="center"/>
        <w:rPr>
          <w:b/>
          <w:bCs/>
          <w:sz w:val="52"/>
          <w:szCs w:val="5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ind w:firstLine="723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before="156" w:beforeLines="50" w:line="276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134" w:right="1304" w:bottom="1134" w:left="1304" w:header="851" w:footer="794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>
      <w:pPr>
        <w:spacing w:before="156" w:beforeLines="50" w:line="276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目录</w:t>
      </w:r>
    </w:p>
    <w:p>
      <w:pPr>
        <w:spacing w:before="156" w:beforeLines="50" w:line="276" w:lineRule="auto"/>
        <w:jc w:val="left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 概述...............................................................................1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16"/>
          <w:szCs w:val="1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1.1产品特点.....................................................................1</w:t>
      </w:r>
    </w:p>
    <w:p>
      <w:pPr>
        <w:spacing w:before="156" w:beforeLines="50" w:line="276" w:lineRule="auto"/>
        <w:jc w:val="left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1.2适用范围.....................................................................1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 工作原理...........................................................................1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3 型号的组成及其代表意义.............................................................2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4 性能参数...........................................................................2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 安装调试...........................................................................3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5.1安装说明/步骤...............................................................3</w:t>
      </w:r>
    </w:p>
    <w:p>
      <w:pPr>
        <w:spacing w:before="156" w:beforeLines="50" w:line="276" w:lineRule="auto"/>
        <w:jc w:val="left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5.2调试方法....................................................................4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6 故障分析与排除.....................................................................4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7 保养、维护.........................................................................4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8 开箱及检查.........................................................................4</w:t>
      </w:r>
    </w:p>
    <w:p>
      <w:pPr>
        <w:spacing w:before="156" w:beforeLines="50" w:line="276" w:lineRule="auto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9 注意事项、免责声明.................................................................5</w:t>
      </w:r>
    </w:p>
    <w:p>
      <w:pPr>
        <w:spacing w:before="156" w:beforeLines="50" w:line="276" w:lineRule="auto"/>
        <w:jc w:val="left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tabs>
          <w:tab w:val="left" w:pos="433"/>
        </w:tabs>
        <w:spacing w:before="156" w:beforeLines="50" w:line="276" w:lineRule="auto"/>
        <w:jc w:val="both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tabs>
          <w:tab w:val="left" w:pos="433"/>
        </w:tabs>
        <w:spacing w:before="156" w:beforeLines="50" w:line="276" w:lineRule="auto"/>
        <w:jc w:val="left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  <w:sectPr>
          <w:headerReference r:id="rId6" w:type="first"/>
          <w:footerReference r:id="rId7" w:type="first"/>
          <w:pgSz w:w="11906" w:h="16838"/>
          <w:pgMar w:top="1134" w:right="1304" w:bottom="1134" w:left="1304" w:header="851" w:footer="794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before="156" w:beforeLines="50" w:line="276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JF-W302G-Ex点型感温火灾探测器</w:t>
      </w:r>
    </w:p>
    <w:p>
      <w:pPr>
        <w:spacing w:line="276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使用说明书</w:t>
      </w:r>
      <w:bookmarkStart w:id="11" w:name="_GoBack"/>
      <w:bookmarkEnd w:id="11"/>
    </w:p>
    <w:p>
      <w:pPr>
        <w:spacing w:line="276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（使用产品前，请阅读使用说明书）</w:t>
      </w:r>
    </w:p>
    <w:p>
      <w:pPr>
        <w:pStyle w:val="2"/>
        <w:numPr>
          <w:ilvl w:val="0"/>
          <w:numId w:val="0"/>
        </w:numPr>
        <w:spacing w:before="60" w:after="6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0" w:name="_Toc40712009"/>
      <w:r>
        <w:rPr>
          <w:rFonts w:hint="eastAsia" w:ascii="Times New Roman" w:hAnsi="Times New Roman" w:cs="Times New Roman"/>
          <w:sz w:val="30"/>
          <w:szCs w:val="30"/>
        </w:rPr>
        <w:t xml:space="preserve">1  </w:t>
      </w:r>
      <w:r>
        <w:rPr>
          <w:rFonts w:ascii="Times New Roman" w:hAnsi="Times New Roman" w:cs="Times New Roman"/>
          <w:sz w:val="30"/>
          <w:szCs w:val="30"/>
        </w:rPr>
        <w:t>概述</w:t>
      </w:r>
      <w:bookmarkEnd w:id="0"/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</w:t>
      </w:r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JF-W302G-Ex点型感温火灾探测器</w:t>
      </w:r>
      <w:r>
        <w:rPr>
          <w:rFonts w:ascii="Times New Roman" w:hAnsi="Times New Roman" w:eastAsia="宋体" w:cs="Times New Roman"/>
          <w:kern w:val="0"/>
          <w:szCs w:val="21"/>
        </w:rPr>
        <w:t>（以下简称</w:t>
      </w:r>
      <w:r>
        <w:rPr>
          <w:rFonts w:hint="eastAsia" w:ascii="Times New Roman" w:hAnsi="Times New Roman" w:eastAsia="宋体" w:cs="Times New Roman"/>
          <w:kern w:val="0"/>
          <w:szCs w:val="21"/>
        </w:rPr>
        <w:t>探测器</w:t>
      </w:r>
      <w:r>
        <w:rPr>
          <w:rFonts w:ascii="Times New Roman" w:hAnsi="Times New Roman" w:eastAsia="宋体" w:cs="Times New Roman"/>
          <w:kern w:val="0"/>
          <w:szCs w:val="21"/>
        </w:rPr>
        <w:t>）</w:t>
      </w:r>
      <w:r>
        <w:rPr>
          <w:rFonts w:hint="eastAsia" w:ascii="Times New Roman" w:hAnsi="Times New Roman" w:eastAsia="宋体" w:cs="Times New Roman"/>
          <w:kern w:val="0"/>
          <w:szCs w:val="21"/>
        </w:rPr>
        <w:t>是四川久远智能消防设备有限责任公司开发的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防</w:t>
      </w:r>
      <w:r>
        <w:rPr>
          <w:rFonts w:ascii="Times New Roman" w:hAnsi="Times New Roman" w:eastAsia="宋体" w:cs="Times New Roman"/>
          <w:kern w:val="0"/>
          <w:szCs w:val="21"/>
        </w:rPr>
        <w:t>爆型</w:t>
      </w:r>
      <w:r>
        <w:rPr>
          <w:rFonts w:hint="eastAsia" w:ascii="Times New Roman" w:hAnsi="Times New Roman" w:eastAsia="宋体" w:cs="Times New Roman"/>
          <w:kern w:val="0"/>
          <w:szCs w:val="21"/>
        </w:rPr>
        <w:t>感温探测器</w:t>
      </w:r>
      <w:r>
        <w:rPr>
          <w:rFonts w:ascii="Times New Roman" w:hAnsi="Times New Roman" w:eastAsia="宋体" w:cs="Times New Roman"/>
          <w:kern w:val="0"/>
          <w:szCs w:val="21"/>
        </w:rPr>
        <w:t>，</w:t>
      </w:r>
      <w:r>
        <w:rPr>
          <w:rFonts w:hint="eastAsia" w:ascii="Times New Roman" w:hAnsi="Times New Roman" w:eastAsia="宋体" w:cs="Times New Roman"/>
          <w:kern w:val="0"/>
          <w:szCs w:val="21"/>
        </w:rPr>
        <w:t>该产品可对安装环境的温度快速变化做出响应报警，具有较强的抗干扰能力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autoSpaceDE w:val="0"/>
        <w:autoSpaceDN w:val="0"/>
        <w:adjustRightInd w:val="0"/>
        <w:ind w:firstLine="420"/>
        <w:jc w:val="left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ascii="Times New Roman" w:hAnsi="Times New Roman" w:eastAsia="宋体" w:cs="Times New Roman"/>
          <w:kern w:val="0"/>
          <w:szCs w:val="21"/>
        </w:rPr>
        <w:t>该产品按照国家标准</w:t>
      </w:r>
      <w:r>
        <w:rPr>
          <w:rFonts w:hint="eastAsia" w:ascii="Times New Roman" w:hAnsi="Times New Roman" w:cs="Times New Roman"/>
          <w:bCs/>
          <w:szCs w:val="21"/>
        </w:rPr>
        <w:t>GB 4716-2005《点型感温火灾探测器》、</w:t>
      </w:r>
      <w:r>
        <w:rPr>
          <w:rFonts w:ascii="Times New Roman" w:hAnsi="Times New Roman" w:cs="Times New Roman"/>
          <w:bCs/>
          <w:szCs w:val="21"/>
        </w:rPr>
        <w:t>GB/T 3836.1-2021《</w:t>
      </w:r>
      <w:r>
        <w:rPr>
          <w:rFonts w:ascii="Times New Roman" w:hAnsi="Times New Roman" w:eastAsia="宋体" w:cs="Times New Roman"/>
          <w:kern w:val="0"/>
          <w:szCs w:val="21"/>
        </w:rPr>
        <w:t>爆炸性环境 第1部分: 设备通用要求</w:t>
      </w:r>
      <w:r>
        <w:rPr>
          <w:rFonts w:ascii="Times New Roman" w:hAnsi="Times New Roman" w:cs="Times New Roman"/>
          <w:bCs/>
          <w:szCs w:val="21"/>
        </w:rPr>
        <w:t>》</w:t>
      </w:r>
      <w:r>
        <w:rPr>
          <w:rFonts w:hint="eastAsia" w:ascii="Times New Roman" w:hAnsi="Times New Roman" w:cs="Times New Roman"/>
          <w:bCs/>
          <w:szCs w:val="21"/>
        </w:rPr>
        <w:t>、</w:t>
      </w:r>
      <w:r>
        <w:rPr>
          <w:rFonts w:ascii="Times New Roman" w:hAnsi="Times New Roman" w:cs="Times New Roman"/>
          <w:bCs/>
          <w:szCs w:val="21"/>
        </w:rPr>
        <w:t>GB/T 3836.2-2021</w:t>
      </w:r>
      <w:r>
        <w:rPr>
          <w:rFonts w:hint="eastAsia" w:ascii="Times New Roman" w:hAnsi="Times New Roman" w:cs="Times New Roman"/>
          <w:bCs/>
          <w:szCs w:val="21"/>
        </w:rPr>
        <w:t>《爆炸性环境 第2部分：由隔爆外壳</w:t>
      </w:r>
      <w:r>
        <w:rPr>
          <w:rFonts w:ascii="Times New Roman" w:hAnsi="Times New Roman" w:eastAsia="宋体" w:cs="Times New Roman"/>
          <w:kern w:val="0"/>
          <w:szCs w:val="21"/>
        </w:rPr>
        <w:t>“d”</w:t>
      </w:r>
      <w:r>
        <w:rPr>
          <w:rFonts w:hint="eastAsia" w:ascii="Times New Roman" w:hAnsi="Times New Roman" w:cs="Times New Roman"/>
          <w:bCs/>
          <w:szCs w:val="21"/>
        </w:rPr>
        <w:t>保护的设备》、</w:t>
      </w:r>
      <w:r>
        <w:rPr>
          <w:rFonts w:ascii="Times New Roman" w:hAnsi="Times New Roman" w:cs="Times New Roman"/>
          <w:bCs/>
          <w:szCs w:val="21"/>
        </w:rPr>
        <w:t>GB/T 3836.4-2021《</w:t>
      </w:r>
      <w:r>
        <w:rPr>
          <w:rFonts w:ascii="Times New Roman" w:hAnsi="Times New Roman" w:eastAsia="宋体" w:cs="Times New Roman"/>
          <w:kern w:val="0"/>
          <w:szCs w:val="21"/>
        </w:rPr>
        <w:t>爆炸性环境 第4部分：由本质安全型“i”保护的设备</w:t>
      </w:r>
      <w:r>
        <w:rPr>
          <w:rFonts w:ascii="Times New Roman" w:hAnsi="Times New Roman" w:cs="Times New Roman"/>
          <w:bCs/>
          <w:szCs w:val="21"/>
        </w:rPr>
        <w:t>》</w:t>
      </w:r>
      <w:r>
        <w:rPr>
          <w:rFonts w:ascii="Times New Roman" w:hAnsi="Times New Roman" w:eastAsia="宋体" w:cs="Times New Roman"/>
          <w:kern w:val="0"/>
          <w:szCs w:val="21"/>
        </w:rPr>
        <w:t>中有关规定制造生产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探测器类别为A2。</w:t>
      </w:r>
    </w:p>
    <w:p>
      <w:pPr>
        <w:autoSpaceDE w:val="0"/>
        <w:autoSpaceDN w:val="0"/>
        <w:adjustRightInd w:val="0"/>
        <w:ind w:firstLine="420"/>
        <w:jc w:val="left"/>
        <w:rPr>
          <w:rFonts w:ascii="Times New Roman" w:hAnsi="Arial" w:cs="Times New Roman"/>
        </w:rPr>
      </w:pPr>
      <w:r>
        <w:rPr>
          <w:rFonts w:hint="eastAsia" w:ascii="Times New Roman" w:hAnsi="Arial" w:cs="Times New Roman"/>
        </w:rPr>
        <w:t>该产品适用于石油、石化等具有防爆要求的</w:t>
      </w:r>
      <w:r>
        <w:rPr>
          <w:rFonts w:ascii="Times New Roman" w:hAnsi="Times New Roman" w:cs="Times New Roman"/>
        </w:rPr>
        <w:t>1</w:t>
      </w:r>
      <w:r>
        <w:rPr>
          <w:rFonts w:ascii="Times New Roman" w:hAnsi="Arial" w:cs="Times New Roman"/>
        </w:rPr>
        <w:t>区及</w:t>
      </w:r>
      <w:r>
        <w:rPr>
          <w:rFonts w:ascii="Times New Roman" w:hAnsi="Times New Roman" w:cs="Times New Roman"/>
        </w:rPr>
        <w:t>2</w:t>
      </w:r>
      <w:r>
        <w:rPr>
          <w:rFonts w:ascii="Times New Roman" w:hAnsi="Arial" w:cs="Times New Roman"/>
        </w:rPr>
        <w:t>区室内（非住宅内）防爆</w:t>
      </w:r>
      <w:r>
        <w:rPr>
          <w:rFonts w:hint="eastAsia" w:ascii="Times New Roman" w:hAnsi="Arial" w:cs="Times New Roman"/>
        </w:rPr>
        <w:t>场所。</w:t>
      </w:r>
    </w:p>
    <w:p>
      <w:pPr>
        <w:pStyle w:val="3"/>
        <w:numPr>
          <w:ilvl w:val="1"/>
          <w:numId w:val="2"/>
        </w:numPr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1" w:name="_Toc40712010"/>
      <w:r>
        <w:rPr>
          <w:rFonts w:ascii="Times New Roman" w:hAnsi="Times New Roman" w:cs="Times New Roman"/>
        </w:rPr>
        <w:t>产品特点</w:t>
      </w:r>
      <w:bookmarkEnd w:id="1"/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内置专用于消防行业的朱鹮微处理器，探测器对自身采集到的数据进行存储和分析；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  <w:highlight w:val="none"/>
        </w:rPr>
        <w:t>定温报警功</w:t>
      </w:r>
      <w:r>
        <w:rPr>
          <w:rFonts w:hint="eastAsia"/>
        </w:rPr>
        <w:t>能；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采用玻璃封装</w:t>
      </w:r>
      <w:r>
        <w:rPr>
          <w:rFonts w:hint="eastAsia" w:ascii="Times New Roman" w:hAnsi="Times New Roman" w:eastAsia="宋体" w:cs="Times New Roman"/>
          <w:kern w:val="0"/>
          <w:szCs w:val="21"/>
        </w:rPr>
        <w:t>热敏电阻</w:t>
      </w:r>
      <w:r>
        <w:rPr>
          <w:rFonts w:hint="eastAsia"/>
        </w:rPr>
        <w:t>，对温度响应速度快；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有实时输出温度值功能，可以通过控制器查看现场的温度变化曲线；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稳定性高，抗静电、抗灰尘附着、抗电磁干扰、抗腐蚀；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抗潮湿能力、抗环境温度影响能力强，可适应不同气候环境的要求；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采用 SMT 表面贴装工艺；</w:t>
      </w:r>
    </w:p>
    <w:p>
      <w:pPr>
        <w:numPr>
          <w:ilvl w:val="0"/>
          <w:numId w:val="3"/>
        </w:numPr>
        <w:spacing w:line="276" w:lineRule="auto"/>
        <w:ind w:hangingChars="200"/>
      </w:pPr>
      <w:r>
        <w:rPr>
          <w:rFonts w:hint="eastAsia"/>
        </w:rPr>
        <w:t>采用消防二总线技术，</w:t>
      </w:r>
      <w:r>
        <w:t>有</w:t>
      </w:r>
      <w:r>
        <w:rPr>
          <w:rFonts w:hint="eastAsia"/>
        </w:rPr>
        <w:t>极性要求。</w:t>
      </w:r>
    </w:p>
    <w:p>
      <w:pPr>
        <w:pStyle w:val="3"/>
        <w:spacing w:before="6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2" w:name="_Toc40712011"/>
      <w:r>
        <w:rPr>
          <w:rFonts w:ascii="Times New Roman" w:hAnsi="Times New Roman" w:cs="Times New Roman"/>
        </w:rPr>
        <w:t>适用范围</w:t>
      </w:r>
      <w:bookmarkEnd w:id="2"/>
    </w:p>
    <w:p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探测器可安装在具有防爆要求的</w:t>
      </w:r>
      <w:r>
        <w:rPr>
          <w:rFonts w:ascii="Times New Roman" w:hAnsi="Times New Roman" w:cs="Times New Roman"/>
        </w:rPr>
        <w:t>1</w:t>
      </w:r>
      <w:r>
        <w:rPr>
          <w:rFonts w:ascii="Times New Roman" w:hAnsi="Arial" w:cs="Times New Roman"/>
        </w:rPr>
        <w:t>区及</w:t>
      </w:r>
      <w:r>
        <w:rPr>
          <w:rFonts w:ascii="Times New Roman" w:hAnsi="Times New Roman" w:cs="Times New Roman"/>
        </w:rPr>
        <w:t>2</w:t>
      </w:r>
      <w:r>
        <w:rPr>
          <w:rFonts w:ascii="Times New Roman" w:hAnsi="Arial" w:cs="Times New Roman"/>
        </w:rPr>
        <w:t>区室内（非住宅内）防爆</w:t>
      </w:r>
      <w:r>
        <w:rPr>
          <w:rFonts w:hint="eastAsia" w:ascii="Times New Roman" w:hAnsi="Times New Roman" w:eastAsia="宋体" w:cs="Times New Roman"/>
          <w:kern w:val="0"/>
          <w:szCs w:val="21"/>
        </w:rPr>
        <w:t>场所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Cs w:val="21"/>
        </w:rPr>
        <w:t>广泛用于石油、化工、医药、船舶等领域。</w: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191135</wp:posOffset>
                </wp:positionV>
                <wp:extent cx="1562100" cy="266065"/>
                <wp:effectExtent l="0" t="2540" r="0" b="0"/>
                <wp:wrapNone/>
                <wp:docPr id="1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315.8pt;margin-top:15.05pt;height:20.95pt;width:123pt;z-index:251660288;mso-width-relative:page;mso-height-relative:page;" filled="f" stroked="f" coordsize="21600,21600" o:gfxdata="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wotdrWAAAACQEAAA8AAAAAAAAAAQAgAAAAIgAAAGRy&#10;cy9kb3ducmV2LnhtbFBLAQIUABQAAAAIAIdO4kCqUHkGBwIAABY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191135</wp:posOffset>
                </wp:positionV>
                <wp:extent cx="1513840" cy="304800"/>
                <wp:effectExtent l="635" t="1905" r="0" b="0"/>
                <wp:wrapNone/>
                <wp:docPr id="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316.6pt;margin-top:15.05pt;height:24pt;width:119.2pt;z-index:251661312;mso-width-relative:page;mso-height-relative:page;" filled="f" stroked="f" coordsize="21600,21600" o:gfxdata="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WxA2vXAAAACQEAAA8AAAAAAAAAAQAgAAAAIgAAAGRy&#10;cy9kb3ducmV2LnhtbFBLAQIUABQAAAAIAIdO4kCZkq8zBgIAABU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bookmarkStart w:id="3" w:name="_Toc40712013"/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439420</wp:posOffset>
                </wp:positionV>
                <wp:extent cx="1809115" cy="304800"/>
                <wp:effectExtent l="635" t="1905" r="0" b="0"/>
                <wp:wrapNone/>
                <wp:docPr id="7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316.6pt;margin-top:34.6pt;height:24pt;width:142.45pt;z-index:251663360;mso-width-relative:page;mso-height-relative:page;" filled="f" stroked="f" coordsize="21600,21600" o:gfxdata="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S75QfWAAAACgEAAA8AAAAAAAAAAQAgAAAAIgAAAGRy&#10;cy9kb3ducmV2LnhtbFBLAQIUABQAAAAIAIdO4kCqiQkQBwIAABU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201295</wp:posOffset>
                </wp:positionV>
                <wp:extent cx="1513840" cy="304800"/>
                <wp:effectExtent l="635" t="1905" r="0" b="0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316.6pt;margin-top:15.85pt;height:24pt;width:119.2pt;z-index:251662336;mso-width-relative:page;mso-height-relative:page;" filled="f" stroked="f" coordsize="21600,21600" o:gfxdata="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2GI2tgAAAAJAQAADwAAAAAAAAABACAAAAAiAAAA&#10;ZHJzL2Rvd25yZXYueG1sUEsBAhQAFAAAAAgAh07iQA2iuYAHAgAAF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  <w:spacing w:before="60" w:after="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工作原理</w:t>
      </w:r>
      <w:bookmarkEnd w:id="3"/>
    </w:p>
    <w:p>
      <w:pPr>
        <w:spacing w:line="276" w:lineRule="auto"/>
        <w:ind w:firstLine="420" w:firstLineChars="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感温探测器由热敏电阻及相应的放大处理等电路组成。热敏电阻是一种具有温度敏感性的半导体电阻，阻值随温度的变化而变化，当温度达到设定报警阈值时电路会发送报警信号</w:t>
      </w:r>
      <w:r>
        <w:rPr>
          <w:rFonts w:ascii="Times New Roman" w:hAnsi="Times New Roman" w:eastAsia="宋体" w:cs="Times New Roman"/>
          <w:kern w:val="0"/>
          <w:szCs w:val="21"/>
        </w:rPr>
        <w:t>。</w:t>
      </w:r>
    </w:p>
    <w:p>
      <w:pPr>
        <w:spacing w:line="276" w:lineRule="auto"/>
        <w:rPr>
          <w:rFonts w:ascii="Times New Roman" w:hAnsi="Times New Roman" w:eastAsia="宋体" w:cs="Times New Roman"/>
          <w:kern w:val="0"/>
          <w:szCs w:val="21"/>
        </w:rPr>
      </w:pPr>
    </w:p>
    <w:p>
      <w:pPr>
        <w:spacing w:line="276" w:lineRule="auto"/>
        <w:rPr>
          <w:rFonts w:hint="eastAsia" w:ascii="Times New Roman" w:hAnsi="Times New Roman" w:cs="Times New Roman" w:eastAsiaTheme="minorEastAsia"/>
          <w:b/>
          <w:bCs/>
          <w:kern w:val="44"/>
          <w:sz w:val="30"/>
          <w:szCs w:val="30"/>
          <w:lang w:val="en-US" w:eastAsia="zh-CN" w:bidi="ar-SA"/>
        </w:rPr>
      </w:pPr>
    </w:p>
    <w:p>
      <w:pPr>
        <w:spacing w:line="276" w:lineRule="auto"/>
        <w:rPr>
          <w:rFonts w:hint="eastAsia" w:ascii="Times New Roman" w:hAnsi="Times New Roman" w:cs="Times New Roman" w:eastAsiaTheme="minorEastAsia"/>
          <w:b/>
          <w:bCs/>
          <w:kern w:val="44"/>
          <w:sz w:val="30"/>
          <w:szCs w:val="30"/>
          <w:lang w:val="en-US" w:eastAsia="zh-CN" w:bidi="ar-SA"/>
        </w:rPr>
      </w:pPr>
    </w:p>
    <w:p>
      <w:pPr>
        <w:spacing w:line="276" w:lineRule="auto"/>
        <w:rPr>
          <w:rFonts w:hint="eastAsia" w:ascii="Times New Roman" w:hAnsi="Times New Roman" w:cs="Times New Roman" w:eastAsiaTheme="minorEastAsia"/>
          <w:b/>
          <w:bCs/>
          <w:kern w:val="44"/>
          <w:sz w:val="30"/>
          <w:szCs w:val="30"/>
          <w:lang w:val="en-US" w:eastAsia="zh-CN" w:bidi="ar-SA"/>
        </w:rPr>
      </w:pPr>
    </w:p>
    <w:p>
      <w:pPr>
        <w:spacing w:line="276" w:lineRule="auto"/>
        <w:rPr>
          <w:rFonts w:hint="eastAsia" w:ascii="Times New Roman" w:hAnsi="Times New Roman" w:cs="Times New Roman"/>
          <w:b/>
          <w:bCs/>
          <w:kern w:val="44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/>
          <w:bCs/>
          <w:kern w:val="44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cs="Times New Roman"/>
          <w:b/>
          <w:bCs/>
          <w:kern w:val="44"/>
          <w:sz w:val="30"/>
          <w:szCs w:val="30"/>
          <w:lang w:val="en-US" w:eastAsia="zh-CN" w:bidi="ar-SA"/>
        </w:rPr>
        <w:t xml:space="preserve">  型号的组成及其代表意义</w:t>
      </w:r>
    </w:p>
    <w:p>
      <w:pPr>
        <w:numPr>
          <w:ilvl w:val="0"/>
          <w:numId w:val="0"/>
        </w:numPr>
        <w:ind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173990</wp:posOffset>
                </wp:positionV>
                <wp:extent cx="635" cy="542925"/>
                <wp:effectExtent l="4445" t="0" r="13970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35pt;margin-top:13.7pt;height:42.75pt;width:0.05pt;z-index:251668480;mso-width-relative:page;mso-height-relative:page;" filled="f" stroked="t" coordsize="21600,21600" o:gfxdata="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FWSGx1gAAAAgBAAAPAAAAAAAAAAEAIAAAACIAAABkcnMvZG93bnJldi54bWxQSwEC&#10;FAAUAAAACACHTuJAwACO0/YBAADn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177165</wp:posOffset>
                </wp:positionV>
                <wp:extent cx="635" cy="119380"/>
                <wp:effectExtent l="4445" t="0" r="13970" b="1397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93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7pt;margin-top:13.95pt;height:9.4pt;width:0.05pt;z-index:251670528;mso-width-relative:page;mso-height-relative:page;" filled="f" stroked="t" coordsize="21600,21600" o:gfxdata="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yAN3tgAAAAJAQAADwAAAAAAAAABACAAAAAiAAAAZHJzL2Rvd25yZXYueG1s&#10;UEsBAhQAFAAAAAgAh07iQEtTf0b4AQAA5wMAAA4AAAAAAAAAAQAgAAAAJ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176530</wp:posOffset>
                </wp:positionV>
                <wp:extent cx="3810" cy="91440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914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3.9pt;height:72pt;width:0.3pt;z-index:251666432;mso-width-relative:page;mso-height-relative:page;" filled="f" stroked="t" coordsize="21600,21600" o:gfxdata="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3Szf1gAAAAgBAAAPAAAAAAAAAAEAIAAAACIAAABkcnMvZG93bnJl&#10;di54bWxQSwECFAAUAAAACACHTuJAMutIrf8BAADy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u w:val="thick"/>
          <w:lang w:val="en-US" w:eastAsia="zh-CN"/>
        </w:rPr>
        <w:t>JF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  <w:u w:val="thick"/>
          <w:lang w:val="en-US" w:eastAsia="zh-CN"/>
        </w:rPr>
        <w:t>W302G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  <w:u w:val="thick"/>
          <w:lang w:val="en-US" w:eastAsia="zh-CN"/>
        </w:rPr>
        <w:t>Ex</w:t>
      </w:r>
    </w:p>
    <w:p>
      <w:pPr>
        <w:numPr>
          <w:ilvl w:val="0"/>
          <w:numId w:val="0"/>
        </w:numPr>
        <w:ind w:firstLine="420"/>
        <w:rPr>
          <w:rFonts w:hint="default" w:ascii="Arial" w:cs="Arial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92075</wp:posOffset>
                </wp:positionV>
                <wp:extent cx="1395095" cy="127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09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.3pt;margin-top:7.25pt;height:0.1pt;width:109.85pt;z-index:251671552;mso-width-relative:page;mso-height-relative:page;" filled="f" stroked="t" coordsize="21600,21600" o:gfxdata="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3XYhdYAAAAJAQAADwAAAAAAAAABACAAAAAiAAAAZHJzL2Rvd25y&#10;ZXYueG1sUEsBAhQAFAAAAAgAh07iQDxV1QsAAgAA8wMAAA4AAAAAAAAAAQAgAAAAJ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cs="Arial"/>
          <w:lang w:val="en-US" w:eastAsia="zh-CN"/>
        </w:rPr>
        <w:t xml:space="preserve">                                 防爆标识</w:t>
      </w:r>
    </w:p>
    <w:p>
      <w:pPr>
        <w:numPr>
          <w:ilvl w:val="0"/>
          <w:numId w:val="0"/>
        </w:numPr>
        <w:rPr>
          <w:rFonts w:hint="default" w:ascii="Arial" w:cs="Arial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default" w:ascii="Arial" w:cs="Arial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109855</wp:posOffset>
                </wp:positionV>
                <wp:extent cx="1756410" cy="127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641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.3pt;margin-top:8.65pt;height:0.1pt;width:138.3pt;z-index:251669504;mso-width-relative:page;mso-height-relative:page;" filled="f" stroked="t" coordsize="21600,21600" o:gfxdata="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Qe+GrWAAAACAEAAA8AAAAAAAAAAQAgAAAAIgAAAGRycy9kb3ducmV2Lnht&#10;bFBLAQIUABQAAAAIAIdO4kClZNH++wEAAOk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cs="Arial"/>
          <w:lang w:val="en-US" w:eastAsia="zh-CN"/>
        </w:rPr>
        <w:t xml:space="preserve">                                 产品型号</w:t>
      </w:r>
    </w:p>
    <w:p>
      <w:pPr>
        <w:numPr>
          <w:ilvl w:val="0"/>
          <w:numId w:val="0"/>
        </w:numPr>
        <w:ind w:firstLine="420"/>
        <w:rPr>
          <w:rFonts w:hint="default" w:ascii="Arial" w:cs="Arial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default" w:ascii="Arial" w:cs="Arial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99695</wp:posOffset>
                </wp:positionV>
                <wp:extent cx="2105660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6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.7pt;margin-top:7.85pt;height:0.05pt;width:165.8pt;z-index:251667456;mso-width-relative:page;mso-height-relative:page;" filled="f" stroked="t" coordsize="21600,21600" o:gfxdata="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lfrv1gAAAAgBAAAPAAAAAAAAAAEAIAAAACIAAABkcnMvZG93bnJldi54bWxQSwEC&#10;FAAUAAAACACHTuJAUeCUfPYBAADo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cs="Arial"/>
          <w:lang w:val="en-US" w:eastAsia="zh-CN"/>
        </w:rPr>
        <w:t xml:space="preserve">                                 公司代号</w:t>
      </w:r>
    </w:p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bookmarkStart w:id="4" w:name="_Toc40712014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4  </w:t>
      </w:r>
      <w:r>
        <w:rPr>
          <w:rFonts w:ascii="Times New Roman" w:hAnsi="Times New Roman" w:cs="Times New Roman"/>
          <w:sz w:val="30"/>
          <w:szCs w:val="30"/>
        </w:rPr>
        <w:t>性能参数</w:t>
      </w:r>
      <w:bookmarkEnd w:id="4"/>
    </w:p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环境特性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使用</w:t>
            </w:r>
            <w:r>
              <w:rPr>
                <w:rFonts w:ascii="Times New Roman" w:hAnsi="Times New Roman" w:cs="Times New Roman"/>
                <w:bCs/>
              </w:rPr>
              <w:t>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～+55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贮存温度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szCs w:val="21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Cs w:val="21"/>
                <w:highlight w:val="none"/>
              </w:rPr>
              <w:t>～+65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Cs w:val="21"/>
              </w:rPr>
              <w:t>≤95%（无凝露）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防爆特性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防护等级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本安部分</w:t>
            </w:r>
            <w:r>
              <w:rPr>
                <w:rFonts w:ascii="Times New Roman" w:hAnsi="Times New Roman" w:cs="Times New Roman"/>
                <w:szCs w:val="21"/>
              </w:rPr>
              <w:t>IP54</w:t>
            </w:r>
            <w:r>
              <w:rPr>
                <w:rFonts w:hint="eastAsia" w:ascii="Times New Roman" w:hAnsi="Times New Roman" w:cs="Times New Roman"/>
                <w:szCs w:val="21"/>
              </w:rPr>
              <w:t>；隔爆部分IP</w:t>
            </w:r>
            <w:r>
              <w:rPr>
                <w:rFonts w:ascii="Times New Roman" w:hAnsi="Times New Roman" w:cs="Times New Roman"/>
                <w:szCs w:val="21"/>
              </w:rPr>
              <w:t>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防爆标志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Ex db ib IIC T6 Gb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防爆合格证号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CNEx22.7636X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电气特性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工作电压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总线</w:t>
            </w:r>
            <w:r>
              <w:rPr>
                <w:rFonts w:ascii="Times New Roman" w:hAnsi="Times New Roman" w:cs="Times New Roman"/>
                <w:szCs w:val="21"/>
              </w:rPr>
              <w:t>24V</w:t>
            </w:r>
            <w:r>
              <w:rPr>
                <w:rFonts w:hint="eastAsia" w:ascii="Times New Roman" w:hAnsi="Times New Roman" w:cs="Times New Roman"/>
                <w:szCs w:val="21"/>
              </w:rPr>
              <w:t>，控制器提供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监视电流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≤520uA（</w:t>
            </w:r>
            <w:r>
              <w:rPr>
                <w:rFonts w:hint="eastAsia" w:ascii="Times New Roman" w:hAnsi="Times New Roman" w:cs="Times New Roman"/>
                <w:szCs w:val="21"/>
              </w:rPr>
              <w:t>总线</w:t>
            </w:r>
            <w:r>
              <w:rPr>
                <w:rFonts w:ascii="Times New Roman" w:hAnsi="Times New Roman" w:cs="Times New Roman"/>
                <w:szCs w:val="21"/>
              </w:rPr>
              <w:t>24V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报警电流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≤620uA（</w:t>
            </w:r>
            <w:r>
              <w:rPr>
                <w:rFonts w:hint="eastAsia" w:ascii="Times New Roman" w:hAnsi="Times New Roman" w:cs="Times New Roman"/>
                <w:szCs w:val="21"/>
              </w:rPr>
              <w:t>总线</w:t>
            </w:r>
            <w:r>
              <w:rPr>
                <w:rFonts w:ascii="Times New Roman" w:hAnsi="Times New Roman" w:cs="Times New Roman"/>
                <w:szCs w:val="21"/>
              </w:rPr>
              <w:t>24V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确认灯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监视状态瞬时微亮，报警常亮（红色）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通讯特性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线 制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有极性 二线制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编址范围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二线制编码</w:t>
            </w:r>
            <w:r>
              <w:rPr>
                <w:rFonts w:ascii="Times New Roman" w:hAnsi="Times New Roman" w:cs="Times New Roman"/>
                <w:bCs/>
              </w:rPr>
              <w:t>：</w:t>
            </w:r>
            <w:r>
              <w:rPr>
                <w:rFonts w:hint="eastAsia"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-200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编址方式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电子编码器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最远传输距离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1000</w:t>
            </w:r>
            <w:r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宋体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RVS2</w:t>
            </w:r>
            <w:r>
              <w:rPr>
                <w:rFonts w:hint="eastAsia"/>
              </w:rPr>
              <w:t>×</w:t>
            </w:r>
            <w:r>
              <w:rPr>
                <w:rFonts w:ascii="Times New Roman" w:hAnsi="Times New Roman" w:cs="Times New Roman"/>
                <w:highlight w:val="none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highlight w:val="none"/>
              </w:rPr>
              <w:t>mm</w:t>
            </w:r>
            <w:r>
              <w:rPr>
                <w:rFonts w:ascii="Times New Roman" w:hAnsi="Times New Roman" w:cs="Times New Roman"/>
                <w:highlight w:val="none"/>
                <w:vertAlign w:val="superscript"/>
              </w:rPr>
              <w:t>2</w:t>
            </w:r>
            <w:r>
              <w:rPr>
                <w:rFonts w:ascii="Times New Roman" w:hAnsi="宋体" w:cs="Times New Roman"/>
              </w:rPr>
              <w:t>）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兼容性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trike/>
                <w:color w:val="FF000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JF999系列控制器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机械特性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 观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塑料部分</w:t>
            </w:r>
            <w:r>
              <w:rPr>
                <w:rFonts w:ascii="Times New Roman" w:hAnsi="Times New Roman" w:cs="Times New Roman"/>
              </w:rPr>
              <w:t>白色</w:t>
            </w:r>
            <w:r>
              <w:rPr>
                <w:rFonts w:hint="eastAsia" w:ascii="Times New Roman" w:hAnsi="Times New Roman" w:cs="Times New Roman"/>
              </w:rPr>
              <w:t>、金属部分红色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外壳材质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塑料+金属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产品质量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约</w:t>
            </w:r>
            <w:r>
              <w:rPr>
                <w:rFonts w:ascii="Times New Roman" w:hAnsi="Times New Roman" w:cs="Times New Roman"/>
              </w:rPr>
              <w:t>1025g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外形尺寸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155mm </w:t>
            </w:r>
            <w:r>
              <w:rPr>
                <w:rFonts w:hint="eastAsia" w:ascii="Times New Roman" w:hAnsi="Times New Roman" w:cs="Times New Roman"/>
                <w:kern w:val="0"/>
              </w:rPr>
              <w:t>×</w:t>
            </w:r>
            <w:r>
              <w:rPr>
                <w:rFonts w:ascii="Times New Roman" w:hAnsi="Times New Roman" w:cs="Times New Roman"/>
                <w:kern w:val="0"/>
              </w:rPr>
              <w:t xml:space="preserve"> 115mm </w:t>
            </w:r>
            <w:r>
              <w:rPr>
                <w:rFonts w:hint="eastAsia" w:ascii="Times New Roman" w:hAnsi="Times New Roman" w:cs="Times New Roman"/>
                <w:kern w:val="0"/>
              </w:rPr>
              <w:t>×</w:t>
            </w:r>
            <w:r>
              <w:rPr>
                <w:rFonts w:ascii="Times New Roman" w:hAnsi="Times New Roman" w:cs="Times New Roman"/>
                <w:kern w:val="0"/>
              </w:rPr>
              <w:t xml:space="preserve"> 9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kern w:val="0"/>
              </w:rPr>
              <w:t>mm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电气接口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2-M20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认证特性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</w:rPr>
              <w:t>消防认证</w:t>
            </w:r>
            <w:r>
              <w:rPr>
                <w:rFonts w:ascii="Times New Roman" w:hAnsi="Times New Roman" w:cs="Times New Roman"/>
                <w:bCs/>
              </w:rPr>
              <w:t>、防爆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检测</w:t>
            </w:r>
          </w:p>
        </w:tc>
      </w:tr>
    </w:tbl>
    <w:p>
      <w:pPr>
        <w:spacing w:before="156" w:beforeLines="50" w:after="156" w:afterLines="50"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black"/>
          <w14:textFill>
            <w14:solidFill>
              <w14:schemeClr w14:val="bg1"/>
            </w14:solidFill>
          </w14:textFill>
        </w:rPr>
        <w:t>执行标准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91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GB/T 3836.1-2021《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爆炸性环境 第1部分: 设备通用要求</w:t>
            </w:r>
            <w:r>
              <w:rPr>
                <w:rFonts w:ascii="Times New Roman" w:hAnsi="Times New Roman" w:cs="Times New Roman"/>
                <w:bCs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GB/T 3836.2-2021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《爆炸性环境 第2部分：由隔爆外壳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d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”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保护的设备》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szCs w:val="21"/>
              </w:rPr>
              <w:t>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GB/T 3836.4-2021《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爆炸性环境 第4部分：由本质安全型“i”保护的设备</w:t>
            </w:r>
            <w:r>
              <w:rPr>
                <w:rFonts w:ascii="Times New Roman" w:hAnsi="Times New Roman" w:cs="Times New Roman"/>
                <w:bCs/>
                <w:szCs w:val="21"/>
              </w:rPr>
              <w:t>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szCs w:val="21"/>
              </w:rPr>
              <w:t>）</w:t>
            </w:r>
          </w:p>
        </w:tc>
        <w:tc>
          <w:tcPr>
            <w:tcW w:w="69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GB 4716-2005《点型感温火灾探测器》</w:t>
            </w:r>
          </w:p>
        </w:tc>
      </w:tr>
    </w:tbl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bookmarkStart w:id="5" w:name="_Toc40712015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5   </w:t>
      </w:r>
      <w:r>
        <w:rPr>
          <w:rFonts w:ascii="Times New Roman" w:hAnsi="Times New Roman" w:cs="Times New Roman"/>
          <w:sz w:val="30"/>
          <w:szCs w:val="30"/>
        </w:rPr>
        <w:t>安装调试</w:t>
      </w:r>
      <w:bookmarkEnd w:id="5"/>
    </w:p>
    <w:p>
      <w:pPr>
        <w:pStyle w:val="3"/>
        <w:numPr>
          <w:ilvl w:val="1"/>
          <w:numId w:val="0"/>
        </w:numPr>
        <w:spacing w:before="60" w:after="60"/>
        <w:ind w:leftChars="0"/>
        <w:rPr>
          <w:rFonts w:ascii="Times New Roman" w:hAnsi="Times New Roman" w:cs="Times New Roman"/>
        </w:rPr>
      </w:pPr>
      <w:bookmarkStart w:id="6" w:name="_Toc40712016"/>
      <w:r>
        <w:rPr>
          <w:rFonts w:hint="eastAsia" w:ascii="Times New Roman" w:hAnsi="Times New Roman" w:cs="Times New Roman"/>
          <w:lang w:val="en-US" w:eastAsia="zh-CN"/>
        </w:rPr>
        <w:t xml:space="preserve">5.1  </w:t>
      </w:r>
      <w:r>
        <w:rPr>
          <w:rFonts w:ascii="Times New Roman" w:hAnsi="Times New Roman" w:cs="Times New Roman"/>
        </w:rPr>
        <w:t>安装说明/步骤</w:t>
      </w:r>
      <w:bookmarkEnd w:id="6"/>
    </w:p>
    <w:p>
      <w:pPr>
        <w:numPr>
          <w:ilvl w:val="0"/>
          <w:numId w:val="5"/>
        </w:numPr>
        <w:spacing w:before="156" w:beforeLines="50" w:line="276" w:lineRule="auto"/>
        <w:ind w:hangingChars="200"/>
      </w:pPr>
      <w:r>
        <w:rPr>
          <w:rFonts w:hint="eastAsia"/>
        </w:rPr>
        <w:t>外形及安装尺寸</w:t>
      </w:r>
      <w:r>
        <w:t>如图1所示</w:t>
      </w:r>
      <w:r>
        <w:rPr>
          <w:rFonts w:hint="eastAsia"/>
        </w:rPr>
        <w:t>，</w:t>
      </w:r>
      <w:r>
        <w:t>单位：mm。</w:t>
      </w:r>
    </w:p>
    <w:p>
      <w:pPr>
        <w:pStyle w:val="20"/>
        <w:ind w:left="42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95470" cy="2747010"/>
            <wp:effectExtent l="0" t="0" r="5080" b="1524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547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3"/>
        <w:jc w:val="center"/>
        <w:rPr>
          <w:szCs w:val="21"/>
        </w:rPr>
      </w:pPr>
      <w:r>
        <w:rPr>
          <w:szCs w:val="21"/>
        </w:rPr>
        <w:t>图1  外形及安装尺寸图</w:t>
      </w:r>
    </w:p>
    <w:p>
      <w:pPr>
        <w:numPr>
          <w:ilvl w:val="0"/>
          <w:numId w:val="5"/>
        </w:numPr>
        <w:spacing w:line="276" w:lineRule="auto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安装应按照有关规定进行</w:t>
      </w:r>
      <w:r>
        <w:rPr>
          <w:rFonts w:hint="eastAsia" w:ascii="宋体" w:cs="宋体"/>
          <w:kern w:val="0"/>
          <w:szCs w:val="21"/>
          <w:lang w:eastAsia="zh-CN"/>
        </w:rPr>
        <w:t>；</w:t>
      </w:r>
    </w:p>
    <w:p>
      <w:pPr>
        <w:numPr>
          <w:ilvl w:val="0"/>
          <w:numId w:val="5"/>
        </w:numPr>
        <w:spacing w:line="276" w:lineRule="auto"/>
        <w:jc w:val="left"/>
        <w:rPr>
          <w:rFonts w:ascii="宋体" w:hAnsi="宋体" w:cs="宋体"/>
          <w:szCs w:val="21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10160</wp:posOffset>
            </wp:positionV>
            <wp:extent cx="150495" cy="145415"/>
            <wp:effectExtent l="0" t="0" r="1905" b="698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4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Cs w:val="21"/>
        </w:rPr>
        <w:t>每个探测器铝合金金属外壳    端子应就近连接到大地</w:t>
      </w:r>
      <w:r>
        <w:rPr>
          <w:rFonts w:hint="eastAsia" w:ascii="宋体" w:hAnsi="宋体" w:cs="宋体"/>
          <w:szCs w:val="21"/>
          <w:lang w:eastAsia="zh-CN"/>
        </w:rPr>
        <w:t>；</w:t>
      </w:r>
    </w:p>
    <w:p>
      <w:pPr>
        <w:numPr>
          <w:ilvl w:val="0"/>
          <w:numId w:val="5"/>
        </w:numPr>
        <w:spacing w:line="276" w:lineRule="auto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电缆和导线可直接引入连接，也可间接引入连接</w:t>
      </w:r>
      <w:r>
        <w:rPr>
          <w:rFonts w:hint="eastAsia" w:ascii="宋体" w:cs="宋体"/>
          <w:kern w:val="0"/>
          <w:szCs w:val="21"/>
          <w:lang w:eastAsia="zh-CN"/>
        </w:rPr>
        <w:t>，</w:t>
      </w:r>
      <w:r>
        <w:rPr>
          <w:rFonts w:hint="eastAsia" w:ascii="宋体" w:cs="宋体"/>
          <w:kern w:val="0"/>
          <w:szCs w:val="21"/>
        </w:rPr>
        <w:t>无论采用哪种引入方式，均应采取措施防止电缆受</w:t>
      </w:r>
      <w:r>
        <w:rPr>
          <w:rFonts w:hint="eastAsia" w:ascii="宋体" w:cs="宋体"/>
          <w:kern w:val="0"/>
          <w:szCs w:val="21"/>
          <w:lang w:val="en-US" w:eastAsia="zh-CN"/>
        </w:rPr>
        <w:t>拖拉</w:t>
      </w:r>
      <w:r>
        <w:rPr>
          <w:rFonts w:hint="eastAsia" w:ascii="宋体" w:cs="宋体"/>
          <w:kern w:val="0"/>
          <w:szCs w:val="21"/>
        </w:rPr>
        <w:t>或扭转时损坏接线端子；</w:t>
      </w:r>
    </w:p>
    <w:p>
      <w:pPr>
        <w:numPr>
          <w:ilvl w:val="0"/>
          <w:numId w:val="5"/>
        </w:numPr>
        <w:spacing w:line="276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cs="宋体"/>
          <w:kern w:val="0"/>
          <w:szCs w:val="21"/>
        </w:rPr>
        <w:t>将回路二总线输出分别接在端子</w:t>
      </w:r>
      <w:r>
        <w:rPr>
          <w:kern w:val="0"/>
          <w:szCs w:val="21"/>
        </w:rPr>
        <w:t>L+</w:t>
      </w:r>
      <w:r>
        <w:rPr>
          <w:rFonts w:hint="eastAsia" w:ascii="宋体" w:cs="宋体"/>
          <w:kern w:val="0"/>
          <w:szCs w:val="21"/>
        </w:rPr>
        <w:t xml:space="preserve"> 和端子</w:t>
      </w:r>
      <w:r>
        <w:rPr>
          <w:kern w:val="0"/>
          <w:szCs w:val="21"/>
        </w:rPr>
        <w:t>L-</w:t>
      </w:r>
      <w:r>
        <w:rPr>
          <w:rFonts w:hint="eastAsia" w:ascii="宋体" w:cs="宋体"/>
          <w:kern w:val="0"/>
          <w:szCs w:val="21"/>
        </w:rPr>
        <w:t>上，注意接线有极性；</w:t>
      </w:r>
    </w:p>
    <w:p>
      <w:pPr>
        <w:numPr>
          <w:ilvl w:val="0"/>
          <w:numId w:val="5"/>
        </w:numPr>
        <w:spacing w:line="276" w:lineRule="auto"/>
        <w:rPr>
          <w:rFonts w:hint="eastAsia" w:ascii="宋体" w:cs="宋体" w:eastAsiaTheme="minorEastAsia"/>
          <w:kern w:val="0"/>
          <w:szCs w:val="21"/>
          <w:lang w:eastAsia="zh-CN"/>
        </w:rPr>
      </w:pPr>
      <w:r>
        <w:rPr>
          <w:rFonts w:hint="eastAsia" w:ascii="宋体" w:cs="宋体"/>
          <w:kern w:val="0"/>
          <w:szCs w:val="21"/>
          <w:lang w:val="en-US" w:eastAsia="zh-CN"/>
        </w:rPr>
        <w:t>根据现场情况选用具有防爆合格证的连接配件，产品连接配件接入口处螺纹：M20×1.5；</w:t>
      </w:r>
    </w:p>
    <w:p>
      <w:pPr>
        <w:numPr>
          <w:ilvl w:val="0"/>
          <w:numId w:val="5"/>
        </w:numPr>
        <w:spacing w:line="276" w:lineRule="auto"/>
        <w:ind w:hangingChars="200"/>
        <w:rPr>
          <w:rFonts w:ascii="宋体" w:cs="宋体"/>
          <w:kern w:val="0"/>
          <w:szCs w:val="21"/>
        </w:rPr>
      </w:pPr>
      <w:r>
        <w:rPr>
          <w:rFonts w:hint="eastAsia"/>
        </w:rPr>
        <w:t>接线图例：</w:t>
      </w:r>
    </w:p>
    <w:p>
      <w:pPr>
        <w:pStyle w:val="20"/>
        <w:ind w:left="420" w:firstLine="0" w:firstLineChars="0"/>
        <w:jc w:val="center"/>
      </w:pPr>
      <w:r>
        <w:rPr>
          <w:rFonts w:hint="eastAsia"/>
        </w:rPr>
        <w:drawing>
          <wp:inline distT="0" distB="0" distL="114300" distR="114300">
            <wp:extent cx="4200525" cy="2157095"/>
            <wp:effectExtent l="0" t="0" r="9525" b="14605"/>
            <wp:docPr id="20" name="图片 20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0"/>
        <w:ind w:left="42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88870" cy="2489835"/>
            <wp:effectExtent l="0" t="0" r="11430" b="5715"/>
            <wp:docPr id="23" name="图片 23" descr="168897560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889756016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3"/>
        <w:jc w:val="center"/>
        <w:rPr>
          <w:szCs w:val="21"/>
        </w:rPr>
      </w:pPr>
      <w:r>
        <w:rPr>
          <w:szCs w:val="21"/>
        </w:rPr>
        <w:t xml:space="preserve">图2  </w:t>
      </w:r>
      <w:r>
        <w:rPr>
          <w:rFonts w:hint="eastAsia"/>
          <w:szCs w:val="21"/>
        </w:rPr>
        <w:t>接线</w:t>
      </w:r>
      <w:r>
        <w:rPr>
          <w:szCs w:val="21"/>
        </w:rPr>
        <w:t>图</w:t>
      </w:r>
      <w:r>
        <w:rPr>
          <w:rFonts w:hint="eastAsia"/>
          <w:szCs w:val="21"/>
        </w:rPr>
        <w:t>例</w:t>
      </w:r>
    </w:p>
    <w:p>
      <w:pPr>
        <w:pStyle w:val="3"/>
        <w:numPr>
          <w:ilvl w:val="1"/>
          <w:numId w:val="0"/>
        </w:numPr>
        <w:spacing w:before="60" w:after="60"/>
        <w:ind w:leftChars="0"/>
        <w:rPr>
          <w:rFonts w:ascii="Times New Roman" w:hAnsi="Times New Roman" w:cs="Times New Roman"/>
        </w:rPr>
      </w:pPr>
      <w:bookmarkStart w:id="7" w:name="_Toc40712017"/>
      <w:r>
        <w:rPr>
          <w:rFonts w:hint="eastAsia" w:ascii="Times New Roman" w:hAnsi="Times New Roman" w:cs="Times New Roman"/>
          <w:lang w:val="en-US" w:eastAsia="zh-CN"/>
        </w:rPr>
        <w:t xml:space="preserve">5.2  </w:t>
      </w:r>
      <w:r>
        <w:rPr>
          <w:rFonts w:ascii="Times New Roman" w:hAnsi="Times New Roman" w:cs="Times New Roman"/>
        </w:rPr>
        <w:t>调试方法</w:t>
      </w:r>
      <w:bookmarkEnd w:id="7"/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宋体" w:hAnsi="宋体"/>
          <w:szCs w:val="21"/>
        </w:rPr>
      </w:pPr>
      <w:bookmarkStart w:id="8" w:name="_Toc40712018"/>
      <w:r>
        <w:rPr>
          <w:rFonts w:hint="eastAsia" w:ascii="宋体" w:hAnsi="宋体" w:cs="宋体"/>
          <w:szCs w:val="21"/>
        </w:rPr>
        <w:t>首先使用电子编码器对探测器进行编码；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产品安装好后操作控制器对其进行登记；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使用专用消防测试温枪，对准探测器上栅格孔进行加热，探测器报警后指示灯变为红色常亮；</w:t>
      </w:r>
    </w:p>
    <w:p>
      <w:pPr>
        <w:numPr>
          <w:ilvl w:val="0"/>
          <w:numId w:val="6"/>
        </w:numPr>
        <w:spacing w:line="276" w:lineRule="auto"/>
        <w:ind w:left="426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复位控制器，探测器恢复正常监视状态。</w:t>
      </w:r>
    </w:p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6  </w:t>
      </w:r>
      <w:r>
        <w:rPr>
          <w:rFonts w:ascii="Times New Roman" w:hAnsi="Times New Roman" w:cs="Times New Roman"/>
          <w:sz w:val="30"/>
          <w:szCs w:val="30"/>
        </w:rPr>
        <w:t>故障分析与排除</w:t>
      </w:r>
      <w:bookmarkEnd w:id="8"/>
    </w:p>
    <w:tbl>
      <w:tblPr>
        <w:tblStyle w:val="13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2268"/>
        <w:gridCol w:w="2976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51" w:type="dxa"/>
            <w:shd w:val="pct5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故障现象</w:t>
            </w:r>
          </w:p>
        </w:tc>
        <w:tc>
          <w:tcPr>
            <w:tcW w:w="2268" w:type="dxa"/>
            <w:shd w:val="pct5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原因分析</w:t>
            </w:r>
          </w:p>
        </w:tc>
        <w:tc>
          <w:tcPr>
            <w:tcW w:w="2976" w:type="dxa"/>
            <w:shd w:val="pct5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排除方法</w:t>
            </w:r>
          </w:p>
        </w:tc>
        <w:tc>
          <w:tcPr>
            <w:tcW w:w="864" w:type="dxa"/>
            <w:shd w:val="pct5" w:color="auto" w:fill="FFFFFF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51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巡检灯不亮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线路接触不良</w:t>
            </w:r>
          </w:p>
        </w:tc>
        <w:tc>
          <w:tcPr>
            <w:tcW w:w="297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检查与控制器之间的线路</w:t>
            </w:r>
          </w:p>
        </w:tc>
        <w:tc>
          <w:tcPr>
            <w:tcW w:w="864" w:type="dxa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51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控制器供电问题</w:t>
            </w:r>
          </w:p>
        </w:tc>
        <w:tc>
          <w:tcPr>
            <w:tcW w:w="297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检测总线电压是否正常</w:t>
            </w:r>
          </w:p>
        </w:tc>
        <w:tc>
          <w:tcPr>
            <w:tcW w:w="864" w:type="dxa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05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巡检灯亮，报故障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同回路现场部件重号</w:t>
            </w:r>
          </w:p>
        </w:tc>
        <w:tc>
          <w:tcPr>
            <w:tcW w:w="297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使用编码器重新编码</w:t>
            </w:r>
          </w:p>
        </w:tc>
        <w:tc>
          <w:tcPr>
            <w:tcW w:w="864" w:type="dxa"/>
          </w:tcPr>
          <w:p>
            <w:pPr>
              <w:widowControl/>
              <w:spacing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51" w:type="dxa"/>
            <w:vMerge w:val="restart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登记失败</w:t>
            </w: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地址不在正常范围</w:t>
            </w:r>
          </w:p>
        </w:tc>
        <w:tc>
          <w:tcPr>
            <w:tcW w:w="297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参照编码器说明书重新编码</w:t>
            </w:r>
          </w:p>
        </w:tc>
        <w:tc>
          <w:tcPr>
            <w:tcW w:w="864" w:type="dxa"/>
            <w:noWrap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51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同回路现场部件重号</w:t>
            </w:r>
          </w:p>
        </w:tc>
        <w:tc>
          <w:tcPr>
            <w:tcW w:w="2976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使用编码器重新编码</w:t>
            </w:r>
          </w:p>
        </w:tc>
        <w:tc>
          <w:tcPr>
            <w:tcW w:w="864" w:type="dxa"/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bookmarkStart w:id="9" w:name="_Toc40712019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7  </w:t>
      </w:r>
      <w:r>
        <w:rPr>
          <w:rFonts w:ascii="Times New Roman" w:hAnsi="Times New Roman" w:cs="Times New Roman"/>
          <w:sz w:val="30"/>
          <w:szCs w:val="30"/>
        </w:rPr>
        <w:t>保养、维护</w:t>
      </w:r>
      <w:bookmarkEnd w:id="9"/>
    </w:p>
    <w:p>
      <w:pPr>
        <w:numPr>
          <w:ilvl w:val="0"/>
          <w:numId w:val="7"/>
        </w:numPr>
        <w:spacing w:line="276" w:lineRule="auto"/>
        <w:ind w:left="426" w:hanging="426"/>
      </w:pPr>
      <w:bookmarkStart w:id="10" w:name="_Toc40712020"/>
      <w:r>
        <w:rPr>
          <w:rFonts w:hint="eastAsia"/>
        </w:rPr>
        <w:t>建议检测验收前加防尘罩保护，但系统正式运行前一定要去掉防尘罩。</w:t>
      </w:r>
    </w:p>
    <w:p>
      <w:pPr>
        <w:numPr>
          <w:ilvl w:val="0"/>
          <w:numId w:val="7"/>
        </w:numPr>
        <w:spacing w:line="276" w:lineRule="auto"/>
        <w:ind w:left="426" w:hanging="426"/>
      </w:pPr>
      <w:r>
        <w:rPr>
          <w:rFonts w:ascii="Arial" w:cs="Arial"/>
        </w:rPr>
        <w:t>定期进行</w:t>
      </w:r>
      <w:r>
        <w:rPr>
          <w:rFonts w:hint="eastAsia" w:ascii="Arial" w:cs="Arial"/>
        </w:rPr>
        <w:t>探测器报警</w:t>
      </w:r>
      <w:r>
        <w:rPr>
          <w:rFonts w:ascii="Arial" w:cs="Arial"/>
        </w:rPr>
        <w:t>试验，建议每半年一次</w:t>
      </w:r>
      <w:r>
        <w:rPr>
          <w:rFonts w:hint="eastAsia" w:ascii="Arial" w:cs="Arial"/>
        </w:rPr>
        <w:t>。</w:t>
      </w:r>
    </w:p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8  </w:t>
      </w:r>
      <w:r>
        <w:rPr>
          <w:rFonts w:ascii="Times New Roman" w:hAnsi="Times New Roman" w:cs="Times New Roman"/>
          <w:sz w:val="30"/>
          <w:szCs w:val="30"/>
        </w:rPr>
        <w:t>开箱及检查</w:t>
      </w:r>
      <w:bookmarkEnd w:id="10"/>
    </w:p>
    <w:p>
      <w:pPr>
        <w:tabs>
          <w:tab w:val="left" w:pos="420"/>
          <w:tab w:val="left" w:pos="900"/>
        </w:tabs>
        <w:spacing w:after="156" w:afterLines="50" w:line="276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打开包装后，本产品应该包括：</w:t>
      </w:r>
    </w:p>
    <w:tbl>
      <w:tblPr>
        <w:tblStyle w:val="14"/>
        <w:tblW w:w="354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tabs>
                <w:tab w:val="left" w:pos="420"/>
                <w:tab w:val="left" w:pos="900"/>
              </w:tabs>
              <w:spacing w:line="276" w:lineRule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点型感温火灾探</w:t>
            </w:r>
            <w:r>
              <w:rPr>
                <w:rFonts w:hint="eastAsia" w:ascii="宋体" w:hAnsi="宋体" w:eastAsia="宋体" w:cs="宋体"/>
              </w:rPr>
              <w:t>测器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tabs>
                <w:tab w:val="left" w:pos="420"/>
                <w:tab w:val="left" w:pos="900"/>
                <w:tab w:val="right" w:pos="3327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产品使用说明书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tabs>
                <w:tab w:val="left" w:pos="420"/>
                <w:tab w:val="left" w:pos="900"/>
                <w:tab w:val="right" w:pos="3327"/>
              </w:tabs>
              <w:spacing w:line="276" w:lineRule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3颗M6×14内六角螺钉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tabs>
                <w:tab w:val="left" w:pos="420"/>
                <w:tab w:val="left" w:pos="900"/>
                <w:tab w:val="right" w:pos="3327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1个5-M6</w:t>
            </w:r>
            <w:r>
              <w:rPr>
                <w:rFonts w:hint="eastAsia" w:ascii="宋体" w:hAnsi="宋体" w:eastAsia="宋体" w:cs="宋体"/>
              </w:rPr>
              <w:t>内六角扳</w:t>
            </w:r>
            <w:r>
              <w:rPr>
                <w:rFonts w:hint="eastAsia" w:ascii="Times New Roman" w:hAnsi="Times New Roman" w:cs="Times New Roman"/>
              </w:rPr>
              <w:t>手</w:t>
            </w:r>
          </w:p>
        </w:tc>
      </w:tr>
    </w:tbl>
    <w:p>
      <w:pPr>
        <w:pStyle w:val="2"/>
        <w:numPr>
          <w:ilvl w:val="0"/>
          <w:numId w:val="0"/>
        </w:numPr>
        <w:spacing w:before="60" w:after="60"/>
        <w:ind w:leftChars="0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9  </w:t>
      </w:r>
      <w:r>
        <w:rPr>
          <w:rFonts w:ascii="Times New Roman" w:hAnsi="Times New Roman" w:cs="Times New Roman"/>
          <w:sz w:val="30"/>
          <w:szCs w:val="30"/>
        </w:rPr>
        <w:t>注意事项、免责声明</w:t>
      </w:r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在使用中，必须严格按照本说明书的描述进行安装与调试。</w:t>
      </w:r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经检验合格产品，不允许随意更换元器件或改变结构，以免影响防爆性能。</w:t>
      </w:r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密封圈、紧固件如有损坏，应及时更换。</w:t>
      </w:r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非专业人员不得随意安装、拆卸。</w:t>
      </w:r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本公司保留对本说明书的最终解释权。</w:t>
      </w:r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须配</w:t>
      </w:r>
      <w:r>
        <w:rPr>
          <w:rFonts w:hint="eastAsia" w:ascii="Times New Roman" w:hAnsi="Times New Roman"/>
          <w:b/>
          <w:szCs w:val="21"/>
          <w:lang w:val="en-US" w:eastAsia="zh-CN"/>
        </w:rPr>
        <w:t>接</w:t>
      </w:r>
      <w:r>
        <w:rPr>
          <w:rFonts w:hint="eastAsia" w:ascii="Times New Roman" w:hAnsi="Times New Roman"/>
          <w:b/>
          <w:szCs w:val="21"/>
        </w:rPr>
        <w:t>与此产品防爆等级适用的并取得</w:t>
      </w:r>
      <w:r>
        <w:rPr>
          <w:rFonts w:hint="eastAsia" w:ascii="Times New Roman" w:hAnsi="Times New Roman"/>
          <w:b/>
          <w:szCs w:val="21"/>
          <w:lang w:val="en-US" w:eastAsia="zh-CN"/>
        </w:rPr>
        <w:t>防爆合格证的连接件配件</w:t>
      </w:r>
      <w:r>
        <w:rPr>
          <w:rFonts w:hint="eastAsia" w:ascii="Times New Roman" w:hAnsi="Times New Roman"/>
          <w:b/>
          <w:szCs w:val="21"/>
        </w:rPr>
        <w:t>。</w:t>
      </w:r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>探测器是一次性产品，一旦损坏不可维修</w:t>
      </w:r>
      <w:r>
        <w:rPr>
          <w:rFonts w:hint="eastAsia" w:ascii="Times New Roman" w:hAnsi="Times New Roman"/>
          <w:b/>
          <w:kern w:val="0"/>
          <w:szCs w:val="21"/>
        </w:rPr>
        <w:t>。</w:t>
      </w:r>
    </w:p>
    <w:p>
      <w:pPr>
        <w:pStyle w:val="20"/>
        <w:numPr>
          <w:ilvl w:val="0"/>
          <w:numId w:val="8"/>
        </w:numPr>
        <w:spacing w:line="276" w:lineRule="auto"/>
        <w:ind w:firstLineChars="0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kern w:val="0"/>
          <w:szCs w:val="21"/>
          <w:lang w:val="en-US" w:eastAsia="zh-CN"/>
        </w:rPr>
        <w:t>探测器预期使用寿命为12年。</w:t>
      </w:r>
    </w:p>
    <w:p>
      <w:pPr>
        <w:tabs>
          <w:tab w:val="left" w:pos="420"/>
          <w:tab w:val="left" w:pos="90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hint="eastAsia" w:ascii="Times New Roman" w:hAnsi="Times New Roman" w:cs="Times New Roman"/>
          <w:b/>
        </w:rPr>
        <w:t>警告：产品外壳塑料材质部分，有潜在静电电荷危险，避免摩擦，清洁时请用湿布擦拭！产品用于爆炸性粉尘环境中时，存在潜在静电电荷危险，因此不能用于受产生电荷过程、机械摩擦、分离过程，电子发射和气动传输粉尘影响的区域。存在爆炸性环境时严禁打开！</w:t>
      </w:r>
    </w:p>
    <w:p>
      <w:pPr>
        <w:spacing w:line="360" w:lineRule="auto"/>
        <w:rPr>
          <w:b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>产品在正常使用、维护和清洁时避免由静电电荷引起点燃危险，使用在爆炸环境中时，不应触碰和擦拭设备。如必须擦拭、触碰，则应在通风良好，无气体泄露的场所进行，并用拧干的湿布擦拭外壳，严禁用干布擦拭外壳。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</w:t>
      </w:r>
      <w:r>
        <w:rPr>
          <w:rFonts w:ascii="Times New Roman" w:hAnsi="Times New Roman" w:eastAsia="宋体" w:cs="Times New Roman"/>
          <w:bCs/>
          <w:szCs w:val="21"/>
        </w:rPr>
        <w:tab/>
      </w:r>
    </w:p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rPr>
          <w:rFonts w:hint="default" w:eastAsiaTheme="minorEastAsia"/>
          <w:b/>
          <w:sz w:val="24"/>
          <w:lang w:val="en-US" w:eastAsia="zh-CN"/>
        </w:rPr>
      </w:pPr>
      <w:r>
        <w:rPr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4581525</wp:posOffset>
            </wp:positionH>
            <wp:positionV relativeFrom="margin">
              <wp:posOffset>7267575</wp:posOffset>
            </wp:positionV>
            <wp:extent cx="1389380" cy="1389380"/>
            <wp:effectExtent l="0" t="0" r="1270" b="1270"/>
            <wp:wrapSquare wrapText="bothSides"/>
            <wp:docPr id="22" name="图片 1" descr="C:\Users\Administrator\Desktop\资料、模板\久远公众号二维码.jpg久远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C:\Users\Administrator\Desktop\资料、模板\久远公众号二维码.jpg久远公众号二维码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</w:rPr>
        <w:t>四川久远智能消防设备有限责任公司</w:t>
      </w:r>
      <w:r>
        <w:rPr>
          <w:rFonts w:hint="eastAsia"/>
          <w:b/>
          <w:sz w:val="24"/>
          <w:lang w:val="en-US" w:eastAsia="zh-CN"/>
        </w:rPr>
        <w:t xml:space="preserve">                                 联系我们</w:t>
      </w:r>
    </w:p>
    <w:p>
      <w:pPr>
        <w:spacing w:line="360" w:lineRule="auto"/>
        <w:rPr>
          <w:sz w:val="24"/>
        </w:rPr>
      </w:pPr>
      <w:r>
        <w:rPr>
          <w:sz w:val="24"/>
        </w:rPr>
        <w:t>地    址：</w:t>
      </w:r>
      <w:r>
        <w:rPr>
          <w:rFonts w:hint="eastAsia"/>
          <w:sz w:val="24"/>
        </w:rPr>
        <w:t>四川省绵阳安州工业园区创业路4号</w:t>
      </w:r>
    </w:p>
    <w:p>
      <w:pPr>
        <w:spacing w:line="360" w:lineRule="auto"/>
        <w:rPr>
          <w:sz w:val="24"/>
        </w:rPr>
      </w:pPr>
      <w:r>
        <w:rPr>
          <w:sz w:val="24"/>
        </w:rPr>
        <w:t>邮    编：</w:t>
      </w:r>
      <w:r>
        <w:rPr>
          <w:rFonts w:hint="eastAsia"/>
          <w:sz w:val="24"/>
        </w:rPr>
        <w:t>622650</w:t>
      </w:r>
    </w:p>
    <w:p>
      <w:pPr>
        <w:spacing w:line="360" w:lineRule="auto"/>
        <w:rPr>
          <w:sz w:val="24"/>
        </w:rPr>
      </w:pPr>
      <w:r>
        <w:rPr>
          <w:sz w:val="24"/>
        </w:rPr>
        <w:t>服务热线：</w:t>
      </w:r>
      <w:r>
        <w:rPr>
          <w:rFonts w:hint="eastAsia"/>
          <w:sz w:val="24"/>
        </w:rPr>
        <w:t>0816-4682123 4682119</w:t>
      </w:r>
    </w:p>
    <w:p>
      <w:pPr>
        <w:spacing w:line="360" w:lineRule="auto"/>
        <w:rPr>
          <w:sz w:val="24"/>
        </w:rPr>
      </w:pPr>
      <w:r>
        <w:rPr>
          <w:sz w:val="24"/>
        </w:rPr>
        <w:t>传    真：</w:t>
      </w:r>
      <w:r>
        <w:rPr>
          <w:rFonts w:hint="eastAsia"/>
          <w:sz w:val="24"/>
        </w:rPr>
        <w:t>0816-4682123</w:t>
      </w:r>
    </w:p>
    <w:p>
      <w:pPr>
        <w:spacing w:line="360" w:lineRule="auto"/>
        <w:rPr>
          <w:sz w:val="24"/>
        </w:rPr>
      </w:pPr>
      <w:r>
        <w:rPr>
          <w:sz w:val="24"/>
        </w:rPr>
        <w:t>网    址：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"http://www.jyznxf.com" </w:instrText>
      </w:r>
      <w:r>
        <w:rPr>
          <w:u w:val="none"/>
        </w:rPr>
        <w:fldChar w:fldCharType="separate"/>
      </w:r>
      <w:r>
        <w:rPr>
          <w:rStyle w:val="16"/>
          <w:rFonts w:hint="eastAsia"/>
          <w:sz w:val="24"/>
          <w:u w:val="none"/>
        </w:rPr>
        <w:t>www.jyznxf.com</w:t>
      </w:r>
      <w:r>
        <w:rPr>
          <w:rStyle w:val="16"/>
          <w:rFonts w:hint="eastAsia"/>
          <w:sz w:val="24"/>
          <w:u w:val="none"/>
        </w:rPr>
        <w:fldChar w:fldCharType="end"/>
      </w:r>
    </w:p>
    <w:p>
      <w:pPr>
        <w:rPr>
          <w:rFonts w:ascii="Times New Roman" w:hAnsi="Times New Roman" w:cs="Times New Roman"/>
          <w:szCs w:val="21"/>
        </w:rPr>
      </w:pPr>
    </w:p>
    <w:sectPr>
      <w:footerReference r:id="rId8" w:type="default"/>
      <w:pgSz w:w="11906" w:h="16838"/>
      <w:pgMar w:top="1134" w:right="1304" w:bottom="1134" w:left="1304" w:header="851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</w:rPr>
    </w:pPr>
    <w:r>
      <w:rPr>
        <w:rFonts w:hint="eastAsia"/>
      </w:rPr>
      <w:t xml:space="preserve">四川久远智能消防设备有限责任公司                      </w:t>
    </w:r>
    <w:r>
      <w:rPr>
        <w:rFonts w:hint="eastAsia" w:asciiTheme="minorEastAsia" w:hAnsiTheme="minorEastAsia"/>
      </w:rPr>
      <w:t xml:space="preserve">                                   第</w:t>
    </w:r>
    <w:r>
      <w:rPr>
        <w:rFonts w:asciiTheme="minorEastAsia" w:hAnsiTheme="minorEastAsia"/>
        <w:lang w:val="zh-CN"/>
      </w:rPr>
      <w:t xml:space="preserve"> </w:t>
    </w:r>
    <w:r>
      <w:rPr>
        <w:rFonts w:asciiTheme="minorEastAsia" w:hAnsiTheme="minorEastAsia"/>
        <w:bCs/>
      </w:rPr>
      <w:fldChar w:fldCharType="begin"/>
    </w:r>
    <w:r>
      <w:rPr>
        <w:rFonts w:asciiTheme="minorEastAsia" w:hAnsiTheme="minorEastAsia"/>
        <w:bCs/>
      </w:rPr>
      <w:instrText xml:space="preserve">PAGE  \* Arabic  \* MERGEFORMAT</w:instrText>
    </w:r>
    <w:r>
      <w:rPr>
        <w:rFonts w:asciiTheme="minorEastAsia" w:hAnsiTheme="minorEastAsia"/>
        <w:bCs/>
      </w:rPr>
      <w:fldChar w:fldCharType="separate"/>
    </w:r>
    <w:r>
      <w:rPr>
        <w:rFonts w:asciiTheme="minorEastAsia" w:hAnsiTheme="minorEastAsia"/>
        <w:bCs/>
        <w:lang w:val="zh-CN"/>
      </w:rPr>
      <w:t>5</w:t>
    </w:r>
    <w:r>
      <w:rPr>
        <w:rFonts w:asciiTheme="minorEastAsia" w:hAnsiTheme="minorEastAsia"/>
        <w:bCs/>
      </w:rPr>
      <w:fldChar w:fldCharType="end"/>
    </w:r>
    <w:r>
      <w:rPr>
        <w:rFonts w:asciiTheme="minorEastAsia" w:hAnsiTheme="minorEastAsia"/>
        <w:bCs/>
      </w:rPr>
      <w:t>页，共</w:t>
    </w:r>
    <w:r>
      <w:rPr>
        <w:rFonts w:asciiTheme="minorEastAsia" w:hAnsiTheme="minorEastAsia"/>
        <w:lang w:val="zh-CN"/>
      </w:rPr>
      <w:t xml:space="preserve"> </w:t>
    </w:r>
    <w:r>
      <w:rPr>
        <w:rFonts w:hint="eastAsia" w:asciiTheme="minorEastAsia" w:hAnsiTheme="minorEastAsia"/>
      </w:rPr>
      <w:t>6</w:t>
    </w:r>
    <w:r>
      <w:rPr>
        <w:rFonts w:asciiTheme="minorEastAsia" w:hAnsiTheme="minorEastAsia"/>
        <w:bCs/>
      </w:rPr>
      <w:t>页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hint="eastAsia" w:eastAsiaTheme="minorEastAsia"/>
        <w:lang w:val="en-US" w:eastAsia="zh-CN"/>
      </w:rPr>
    </w:pPr>
    <w:r>
      <w:rPr>
        <w:rFonts w:hint="eastAsia"/>
      </w:rPr>
      <w:drawing>
        <wp:inline distT="0" distB="0" distL="114300" distR="114300">
          <wp:extent cx="468630" cy="299720"/>
          <wp:effectExtent l="0" t="0" r="7620" b="5080"/>
          <wp:docPr id="18" name="图片 2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" descr="久远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6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 xml:space="preserve">   JF-W302G-Ex</w:t>
    </w:r>
    <w:r>
      <w:rPr>
        <w:rFonts w:hint="eastAsia" w:ascii="Times New Roman" w:hAnsi="Times New Roman" w:cs="Times New Roman"/>
      </w:rPr>
      <w:t>点型感温火灾探测器</w:t>
    </w:r>
    <w:r>
      <w:rPr>
        <w:rFonts w:hint="eastAsia"/>
      </w:rPr>
      <w:t>使用说明书</w:t>
    </w:r>
    <w:r>
      <w:rPr>
        <w:rFonts w:ascii="Times New Roman" w:hAnsi="Times New Roman" w:cs="Times New Roman"/>
      </w:rPr>
      <w:t>V1.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32A1A33"/>
    <w:multiLevelType w:val="multilevel"/>
    <w:tmpl w:val="032A1A3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05CE6E85"/>
    <w:multiLevelType w:val="multilevel"/>
    <w:tmpl w:val="05CE6E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3C3488A"/>
    <w:multiLevelType w:val="multilevel"/>
    <w:tmpl w:val="13C3488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7BE3948"/>
    <w:multiLevelType w:val="multilevel"/>
    <w:tmpl w:val="37BE3948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6BF43074"/>
    <w:multiLevelType w:val="multilevel"/>
    <w:tmpl w:val="6BF43074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default" w:ascii="Times New Roman" w:hAnsi="Times New Roman"/>
      </w:rPr>
    </w:lvl>
    <w:lvl w:ilvl="1" w:tentative="0">
      <w:start w:val="1"/>
      <w:numFmt w:val="decimal"/>
      <w:pStyle w:val="3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75DB325D"/>
    <w:multiLevelType w:val="multilevel"/>
    <w:tmpl w:val="75DB32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 w:tentative="1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hint="default" w:ascii="Wingdings" w:hAnsi="Wingdings"/>
        </w:rPr>
      </w:lvl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ZTlhNGQ2MjYyZWVjN2ZjMDVjNTdhNDM5NGIxNzIifQ=="/>
  </w:docVars>
  <w:rsids>
    <w:rsidRoot w:val="000628F2"/>
    <w:rsid w:val="00001DA7"/>
    <w:rsid w:val="00007C84"/>
    <w:rsid w:val="00014026"/>
    <w:rsid w:val="00025620"/>
    <w:rsid w:val="00047F0B"/>
    <w:rsid w:val="00062402"/>
    <w:rsid w:val="000628F2"/>
    <w:rsid w:val="000704E5"/>
    <w:rsid w:val="0007400A"/>
    <w:rsid w:val="00074AE1"/>
    <w:rsid w:val="00075769"/>
    <w:rsid w:val="0008313B"/>
    <w:rsid w:val="00083D42"/>
    <w:rsid w:val="000939F1"/>
    <w:rsid w:val="00096C72"/>
    <w:rsid w:val="00096E66"/>
    <w:rsid w:val="000B6A25"/>
    <w:rsid w:val="000C4FA1"/>
    <w:rsid w:val="000D1A2C"/>
    <w:rsid w:val="000D38AA"/>
    <w:rsid w:val="000D3FA0"/>
    <w:rsid w:val="000D5853"/>
    <w:rsid w:val="000E0432"/>
    <w:rsid w:val="000E0C4C"/>
    <w:rsid w:val="000E11B5"/>
    <w:rsid w:val="000E3497"/>
    <w:rsid w:val="000F0876"/>
    <w:rsid w:val="00111B82"/>
    <w:rsid w:val="0013095B"/>
    <w:rsid w:val="001314FA"/>
    <w:rsid w:val="00134D54"/>
    <w:rsid w:val="001351CC"/>
    <w:rsid w:val="0014148B"/>
    <w:rsid w:val="00147E7D"/>
    <w:rsid w:val="00153255"/>
    <w:rsid w:val="00156423"/>
    <w:rsid w:val="0016164B"/>
    <w:rsid w:val="00171ACA"/>
    <w:rsid w:val="0017393D"/>
    <w:rsid w:val="00173A8F"/>
    <w:rsid w:val="00185137"/>
    <w:rsid w:val="0019017F"/>
    <w:rsid w:val="00194728"/>
    <w:rsid w:val="001B25BF"/>
    <w:rsid w:val="001B3A9A"/>
    <w:rsid w:val="001B6DFB"/>
    <w:rsid w:val="001C0DC9"/>
    <w:rsid w:val="001D54FE"/>
    <w:rsid w:val="001D6D7E"/>
    <w:rsid w:val="0021321A"/>
    <w:rsid w:val="0021775E"/>
    <w:rsid w:val="00235475"/>
    <w:rsid w:val="00235850"/>
    <w:rsid w:val="002411C7"/>
    <w:rsid w:val="0024309B"/>
    <w:rsid w:val="00245D30"/>
    <w:rsid w:val="00246E11"/>
    <w:rsid w:val="0026103C"/>
    <w:rsid w:val="00261CC3"/>
    <w:rsid w:val="00262F07"/>
    <w:rsid w:val="002663BF"/>
    <w:rsid w:val="00271A61"/>
    <w:rsid w:val="00276EB3"/>
    <w:rsid w:val="0029215F"/>
    <w:rsid w:val="002D6BD5"/>
    <w:rsid w:val="002E6545"/>
    <w:rsid w:val="002F09DC"/>
    <w:rsid w:val="003016A4"/>
    <w:rsid w:val="00304788"/>
    <w:rsid w:val="00306BE6"/>
    <w:rsid w:val="0031267C"/>
    <w:rsid w:val="00322BCA"/>
    <w:rsid w:val="00366822"/>
    <w:rsid w:val="0038133C"/>
    <w:rsid w:val="00385E7B"/>
    <w:rsid w:val="003A37FF"/>
    <w:rsid w:val="003A56F8"/>
    <w:rsid w:val="003B432B"/>
    <w:rsid w:val="003C66E1"/>
    <w:rsid w:val="003D6D66"/>
    <w:rsid w:val="003E3436"/>
    <w:rsid w:val="003E72DC"/>
    <w:rsid w:val="003E7C92"/>
    <w:rsid w:val="003F09F2"/>
    <w:rsid w:val="003F29AB"/>
    <w:rsid w:val="003F3D3B"/>
    <w:rsid w:val="0041564C"/>
    <w:rsid w:val="004161E6"/>
    <w:rsid w:val="0042184F"/>
    <w:rsid w:val="00422A20"/>
    <w:rsid w:val="00425D93"/>
    <w:rsid w:val="00456881"/>
    <w:rsid w:val="00473132"/>
    <w:rsid w:val="00484668"/>
    <w:rsid w:val="00496A6C"/>
    <w:rsid w:val="004A4AF5"/>
    <w:rsid w:val="004B0771"/>
    <w:rsid w:val="004B5091"/>
    <w:rsid w:val="004B53A1"/>
    <w:rsid w:val="004D23A8"/>
    <w:rsid w:val="004D4BC2"/>
    <w:rsid w:val="004E7657"/>
    <w:rsid w:val="004F00BD"/>
    <w:rsid w:val="004F1104"/>
    <w:rsid w:val="00500C59"/>
    <w:rsid w:val="00500CAE"/>
    <w:rsid w:val="00504741"/>
    <w:rsid w:val="0052603F"/>
    <w:rsid w:val="00534E41"/>
    <w:rsid w:val="005414CE"/>
    <w:rsid w:val="0056598A"/>
    <w:rsid w:val="00582D81"/>
    <w:rsid w:val="00595B2E"/>
    <w:rsid w:val="005B620D"/>
    <w:rsid w:val="005C1325"/>
    <w:rsid w:val="005C1DC9"/>
    <w:rsid w:val="005D0831"/>
    <w:rsid w:val="005D6A9A"/>
    <w:rsid w:val="005E2E9A"/>
    <w:rsid w:val="005F49AE"/>
    <w:rsid w:val="00603129"/>
    <w:rsid w:val="00603CDD"/>
    <w:rsid w:val="00613E3D"/>
    <w:rsid w:val="00620FCD"/>
    <w:rsid w:val="006210B0"/>
    <w:rsid w:val="00621B90"/>
    <w:rsid w:val="00624436"/>
    <w:rsid w:val="00627719"/>
    <w:rsid w:val="00630EDD"/>
    <w:rsid w:val="00632223"/>
    <w:rsid w:val="0066517A"/>
    <w:rsid w:val="00666EE2"/>
    <w:rsid w:val="00667BEC"/>
    <w:rsid w:val="00672E92"/>
    <w:rsid w:val="00680F2B"/>
    <w:rsid w:val="00681E16"/>
    <w:rsid w:val="00686AAE"/>
    <w:rsid w:val="006920DE"/>
    <w:rsid w:val="006941CD"/>
    <w:rsid w:val="00696AEE"/>
    <w:rsid w:val="006B2AED"/>
    <w:rsid w:val="006B5562"/>
    <w:rsid w:val="006B622E"/>
    <w:rsid w:val="006D627D"/>
    <w:rsid w:val="006E1B80"/>
    <w:rsid w:val="006E7ACF"/>
    <w:rsid w:val="006F709C"/>
    <w:rsid w:val="007235AF"/>
    <w:rsid w:val="00723D32"/>
    <w:rsid w:val="00735DDA"/>
    <w:rsid w:val="0074698E"/>
    <w:rsid w:val="007547BB"/>
    <w:rsid w:val="00796465"/>
    <w:rsid w:val="007B2F61"/>
    <w:rsid w:val="007C4B4C"/>
    <w:rsid w:val="007C63C2"/>
    <w:rsid w:val="007C7965"/>
    <w:rsid w:val="007D1114"/>
    <w:rsid w:val="007E27A1"/>
    <w:rsid w:val="007F5F7D"/>
    <w:rsid w:val="00801F57"/>
    <w:rsid w:val="00806E63"/>
    <w:rsid w:val="0082203C"/>
    <w:rsid w:val="0082291A"/>
    <w:rsid w:val="008320D3"/>
    <w:rsid w:val="0085178F"/>
    <w:rsid w:val="00855F16"/>
    <w:rsid w:val="00857C52"/>
    <w:rsid w:val="0086675A"/>
    <w:rsid w:val="00874325"/>
    <w:rsid w:val="00874BE7"/>
    <w:rsid w:val="00874E6A"/>
    <w:rsid w:val="008775CC"/>
    <w:rsid w:val="00877EE0"/>
    <w:rsid w:val="008A18C7"/>
    <w:rsid w:val="008A245D"/>
    <w:rsid w:val="008A5D1D"/>
    <w:rsid w:val="008B2E8C"/>
    <w:rsid w:val="008C15E0"/>
    <w:rsid w:val="008D00F2"/>
    <w:rsid w:val="008E2475"/>
    <w:rsid w:val="008F2A1A"/>
    <w:rsid w:val="009037B0"/>
    <w:rsid w:val="00906418"/>
    <w:rsid w:val="009131FA"/>
    <w:rsid w:val="009145E8"/>
    <w:rsid w:val="009253FE"/>
    <w:rsid w:val="00934B70"/>
    <w:rsid w:val="00936276"/>
    <w:rsid w:val="00947EC5"/>
    <w:rsid w:val="00952172"/>
    <w:rsid w:val="009576F4"/>
    <w:rsid w:val="009607F7"/>
    <w:rsid w:val="009639E0"/>
    <w:rsid w:val="009812D1"/>
    <w:rsid w:val="00992E0D"/>
    <w:rsid w:val="009A3F4E"/>
    <w:rsid w:val="009C2682"/>
    <w:rsid w:val="009D77CC"/>
    <w:rsid w:val="009F1828"/>
    <w:rsid w:val="009F3AFF"/>
    <w:rsid w:val="009F598F"/>
    <w:rsid w:val="00A075DB"/>
    <w:rsid w:val="00A15A25"/>
    <w:rsid w:val="00A22C64"/>
    <w:rsid w:val="00A23A2B"/>
    <w:rsid w:val="00A243DB"/>
    <w:rsid w:val="00A40607"/>
    <w:rsid w:val="00A702AB"/>
    <w:rsid w:val="00A8289F"/>
    <w:rsid w:val="00AA730C"/>
    <w:rsid w:val="00AD1E0D"/>
    <w:rsid w:val="00AD2C7E"/>
    <w:rsid w:val="00AD3704"/>
    <w:rsid w:val="00AE4869"/>
    <w:rsid w:val="00B307D5"/>
    <w:rsid w:val="00B368A8"/>
    <w:rsid w:val="00B370B5"/>
    <w:rsid w:val="00B41CFD"/>
    <w:rsid w:val="00B461C1"/>
    <w:rsid w:val="00B57020"/>
    <w:rsid w:val="00B638D6"/>
    <w:rsid w:val="00B71146"/>
    <w:rsid w:val="00B71A36"/>
    <w:rsid w:val="00B71F58"/>
    <w:rsid w:val="00B77C27"/>
    <w:rsid w:val="00B84B69"/>
    <w:rsid w:val="00B87425"/>
    <w:rsid w:val="00BB4C83"/>
    <w:rsid w:val="00BB5EA5"/>
    <w:rsid w:val="00BB63BD"/>
    <w:rsid w:val="00BC39BD"/>
    <w:rsid w:val="00BC5637"/>
    <w:rsid w:val="00BC5F38"/>
    <w:rsid w:val="00BD2EEF"/>
    <w:rsid w:val="00BE0AE9"/>
    <w:rsid w:val="00BE3C85"/>
    <w:rsid w:val="00BF07AC"/>
    <w:rsid w:val="00BF217D"/>
    <w:rsid w:val="00BF35FE"/>
    <w:rsid w:val="00C05377"/>
    <w:rsid w:val="00C15096"/>
    <w:rsid w:val="00C30534"/>
    <w:rsid w:val="00C3342F"/>
    <w:rsid w:val="00C448EA"/>
    <w:rsid w:val="00C467B9"/>
    <w:rsid w:val="00C5608D"/>
    <w:rsid w:val="00C57EB9"/>
    <w:rsid w:val="00C617D2"/>
    <w:rsid w:val="00C644FA"/>
    <w:rsid w:val="00C778E0"/>
    <w:rsid w:val="00CA7B5C"/>
    <w:rsid w:val="00CB59B9"/>
    <w:rsid w:val="00CB6114"/>
    <w:rsid w:val="00CC178B"/>
    <w:rsid w:val="00CC1ACD"/>
    <w:rsid w:val="00CC2DAA"/>
    <w:rsid w:val="00CC59E2"/>
    <w:rsid w:val="00CE5F09"/>
    <w:rsid w:val="00CF17FC"/>
    <w:rsid w:val="00CF42C9"/>
    <w:rsid w:val="00CF7C9D"/>
    <w:rsid w:val="00D25D59"/>
    <w:rsid w:val="00D33B04"/>
    <w:rsid w:val="00D377F4"/>
    <w:rsid w:val="00D40BB9"/>
    <w:rsid w:val="00D45A81"/>
    <w:rsid w:val="00D462F9"/>
    <w:rsid w:val="00D513BD"/>
    <w:rsid w:val="00D60A15"/>
    <w:rsid w:val="00D85806"/>
    <w:rsid w:val="00D864FA"/>
    <w:rsid w:val="00DA71B1"/>
    <w:rsid w:val="00DC6B66"/>
    <w:rsid w:val="00DD20BB"/>
    <w:rsid w:val="00DD5730"/>
    <w:rsid w:val="00DF2180"/>
    <w:rsid w:val="00DF32DF"/>
    <w:rsid w:val="00E0149C"/>
    <w:rsid w:val="00E0759E"/>
    <w:rsid w:val="00E42838"/>
    <w:rsid w:val="00E44E7D"/>
    <w:rsid w:val="00E61F57"/>
    <w:rsid w:val="00E73663"/>
    <w:rsid w:val="00E80857"/>
    <w:rsid w:val="00E91FD5"/>
    <w:rsid w:val="00E95CC8"/>
    <w:rsid w:val="00EA0A96"/>
    <w:rsid w:val="00EA4DEC"/>
    <w:rsid w:val="00EC090C"/>
    <w:rsid w:val="00EE11E2"/>
    <w:rsid w:val="00EE7F9E"/>
    <w:rsid w:val="00EF7147"/>
    <w:rsid w:val="00F0657C"/>
    <w:rsid w:val="00F313DA"/>
    <w:rsid w:val="00F349F1"/>
    <w:rsid w:val="00F40778"/>
    <w:rsid w:val="00F45F5F"/>
    <w:rsid w:val="00F5571F"/>
    <w:rsid w:val="00FC1732"/>
    <w:rsid w:val="00FD579E"/>
    <w:rsid w:val="00FE23A2"/>
    <w:rsid w:val="00FF77B6"/>
    <w:rsid w:val="027D2D7E"/>
    <w:rsid w:val="032E3E41"/>
    <w:rsid w:val="066F7202"/>
    <w:rsid w:val="07013F3A"/>
    <w:rsid w:val="08A41C8D"/>
    <w:rsid w:val="0BFB30BB"/>
    <w:rsid w:val="0E007637"/>
    <w:rsid w:val="1088747A"/>
    <w:rsid w:val="113B0676"/>
    <w:rsid w:val="11DA3D05"/>
    <w:rsid w:val="13B75A0F"/>
    <w:rsid w:val="14771CDF"/>
    <w:rsid w:val="14BC40FE"/>
    <w:rsid w:val="160A26DF"/>
    <w:rsid w:val="189B57C2"/>
    <w:rsid w:val="198F5FA2"/>
    <w:rsid w:val="19DC5D9C"/>
    <w:rsid w:val="1B4B7C16"/>
    <w:rsid w:val="1C8C041E"/>
    <w:rsid w:val="1CDA2C80"/>
    <w:rsid w:val="1CF8318F"/>
    <w:rsid w:val="1DD82FFB"/>
    <w:rsid w:val="210C5609"/>
    <w:rsid w:val="21946F34"/>
    <w:rsid w:val="21BA58FB"/>
    <w:rsid w:val="223A2F85"/>
    <w:rsid w:val="24EB3425"/>
    <w:rsid w:val="26DA7167"/>
    <w:rsid w:val="29243A17"/>
    <w:rsid w:val="2A220866"/>
    <w:rsid w:val="2ACC11C1"/>
    <w:rsid w:val="2ADA0BA7"/>
    <w:rsid w:val="2E77725D"/>
    <w:rsid w:val="2EF15716"/>
    <w:rsid w:val="30502196"/>
    <w:rsid w:val="30FD52B1"/>
    <w:rsid w:val="34777757"/>
    <w:rsid w:val="34854548"/>
    <w:rsid w:val="355C0636"/>
    <w:rsid w:val="35AF70D3"/>
    <w:rsid w:val="36417D92"/>
    <w:rsid w:val="37B9035D"/>
    <w:rsid w:val="37BC5CBC"/>
    <w:rsid w:val="3826442D"/>
    <w:rsid w:val="382A66C7"/>
    <w:rsid w:val="3DC020D3"/>
    <w:rsid w:val="3F705E5D"/>
    <w:rsid w:val="3FCD6E0C"/>
    <w:rsid w:val="403F042B"/>
    <w:rsid w:val="40611AAC"/>
    <w:rsid w:val="41893F0C"/>
    <w:rsid w:val="43105B6E"/>
    <w:rsid w:val="43B104BA"/>
    <w:rsid w:val="454D7D6F"/>
    <w:rsid w:val="46D309E2"/>
    <w:rsid w:val="47256537"/>
    <w:rsid w:val="478D21D8"/>
    <w:rsid w:val="48602C96"/>
    <w:rsid w:val="494669F0"/>
    <w:rsid w:val="4AAF2739"/>
    <w:rsid w:val="4D3A32CE"/>
    <w:rsid w:val="4D6D1070"/>
    <w:rsid w:val="4E1A4A77"/>
    <w:rsid w:val="4EE07EA5"/>
    <w:rsid w:val="4F01192E"/>
    <w:rsid w:val="50822BB9"/>
    <w:rsid w:val="51DE7E14"/>
    <w:rsid w:val="54B971CF"/>
    <w:rsid w:val="55EA26A7"/>
    <w:rsid w:val="56216A26"/>
    <w:rsid w:val="582408AA"/>
    <w:rsid w:val="58850615"/>
    <w:rsid w:val="58EE7130"/>
    <w:rsid w:val="59E36659"/>
    <w:rsid w:val="5A6D668C"/>
    <w:rsid w:val="5BC1706D"/>
    <w:rsid w:val="5C786CE1"/>
    <w:rsid w:val="5CF00326"/>
    <w:rsid w:val="5DED40AB"/>
    <w:rsid w:val="5EC7698C"/>
    <w:rsid w:val="5FD04300"/>
    <w:rsid w:val="60844D76"/>
    <w:rsid w:val="60DE02F4"/>
    <w:rsid w:val="614C126A"/>
    <w:rsid w:val="63E74C1F"/>
    <w:rsid w:val="64BF5A3F"/>
    <w:rsid w:val="64C01EB3"/>
    <w:rsid w:val="64DF4A2F"/>
    <w:rsid w:val="69597BFA"/>
    <w:rsid w:val="698F190A"/>
    <w:rsid w:val="6A7259FE"/>
    <w:rsid w:val="708A7A0F"/>
    <w:rsid w:val="71481648"/>
    <w:rsid w:val="717B788E"/>
    <w:rsid w:val="73D62389"/>
    <w:rsid w:val="73F00EAF"/>
    <w:rsid w:val="74554592"/>
    <w:rsid w:val="7472484C"/>
    <w:rsid w:val="76B333D7"/>
    <w:rsid w:val="76BD6253"/>
    <w:rsid w:val="79213CBC"/>
    <w:rsid w:val="7BD77DB7"/>
    <w:rsid w:val="7CED1023"/>
    <w:rsid w:val="7D7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numPr>
        <w:ilvl w:val="0"/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420"/>
        <w:tab w:val="right" w:leader="dot" w:pos="9356"/>
      </w:tabs>
      <w:spacing w:line="276" w:lineRule="auto"/>
    </w:pPr>
    <w:rPr>
      <w:sz w:val="28"/>
      <w:szCs w:val="28"/>
    </w:rPr>
  </w:style>
  <w:style w:type="paragraph" w:styleId="10">
    <w:name w:val="toc 2"/>
    <w:basedOn w:val="1"/>
    <w:next w:val="1"/>
    <w:unhideWhenUsed/>
    <w:qFormat/>
    <w:uiPriority w:val="39"/>
    <w:pPr>
      <w:tabs>
        <w:tab w:val="left" w:pos="567"/>
        <w:tab w:val="right" w:leader="dot" w:pos="9356"/>
      </w:tabs>
    </w:pPr>
    <w:rPr>
      <w:sz w:val="24"/>
      <w:szCs w:val="24"/>
    </w:rPr>
  </w:style>
  <w:style w:type="paragraph" w:styleId="11">
    <w:name w:val="index 1"/>
    <w:basedOn w:val="1"/>
    <w:next w:val="1"/>
    <w:semiHidden/>
    <w:qFormat/>
    <w:uiPriority w:val="0"/>
    <w:pPr>
      <w:jc w:val="center"/>
    </w:pPr>
    <w:rPr>
      <w:b/>
      <w:bCs/>
      <w:sz w:val="48"/>
    </w:rPr>
  </w:style>
  <w:style w:type="paragraph" w:styleId="12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标题 1 字符"/>
    <w:basedOn w:val="15"/>
    <w:link w:val="2"/>
    <w:qFormat/>
    <w:uiPriority w:val="9"/>
    <w:rPr>
      <w:b/>
      <w:bCs/>
      <w:kern w:val="44"/>
      <w:sz w:val="32"/>
      <w:szCs w:val="44"/>
    </w:rPr>
  </w:style>
  <w:style w:type="character" w:customStyle="1" w:styleId="22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23">
    <w:name w:val="批注框文本 字符"/>
    <w:basedOn w:val="15"/>
    <w:link w:val="6"/>
    <w:semiHidden/>
    <w:qFormat/>
    <w:uiPriority w:val="99"/>
    <w:rPr>
      <w:sz w:val="18"/>
      <w:szCs w:val="18"/>
    </w:rPr>
  </w:style>
  <w:style w:type="character" w:customStyle="1" w:styleId="24">
    <w:name w:val="批注文字 字符"/>
    <w:basedOn w:val="15"/>
    <w:link w:val="5"/>
    <w:semiHidden/>
    <w:qFormat/>
    <w:uiPriority w:val="99"/>
  </w:style>
  <w:style w:type="character" w:customStyle="1" w:styleId="25">
    <w:name w:val="批注主题 字符"/>
    <w:basedOn w:val="24"/>
    <w:link w:val="12"/>
    <w:semiHidden/>
    <w:qFormat/>
    <w:uiPriority w:val="99"/>
    <w:rPr>
      <w:b/>
      <w:bCs/>
    </w:rPr>
  </w:style>
  <w:style w:type="character" w:customStyle="1" w:styleId="26">
    <w:name w:val="文档结构图 字符"/>
    <w:basedOn w:val="15"/>
    <w:link w:val="4"/>
    <w:semiHidden/>
    <w:qFormat/>
    <w:uiPriority w:val="99"/>
    <w:rPr>
      <w:rFonts w:ascii="宋体" w:eastAsia="宋体"/>
      <w:sz w:val="18"/>
      <w:szCs w:val="18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C280D2-1913-457A-A3B0-0B608FF123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2081</Words>
  <Characters>3303</Characters>
  <Lines>19</Lines>
  <Paragraphs>5</Paragraphs>
  <TotalTime>68</TotalTime>
  <ScaleCrop>false</ScaleCrop>
  <LinksUpToDate>false</LinksUpToDate>
  <CharactersWithSpaces>3608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2022-09-15T05:43:00Z</dcterms:created>
  <dc:creator>Windows 用户</dc:creator>
  <cp:lastModifiedBy>Administrator</cp:lastModifiedBy>
  <cp:lastPrinted>2022-06-01T09:53:00Z</cp:lastPrinted>
  <dcterms:modified xsi:type="dcterms:W3CDTF">2023-09-05T01:36:14Z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232553AC7E484C7D8645A007F25E1C6F_13</vt:lpwstr>
  </property>
</Properties>
</file>